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200"/>
        <w:jc w:val="left"/>
        <w:rPr>
          <w:color w:val="000000"/>
        </w:rPr>
      </w:pPr>
      <w:r>
        <w:rPr>
          <w:rFonts w:hint="eastAsia"/>
          <w:color w:val="000000"/>
        </w:rPr>
        <w:t xml:space="preserve">  </w:t>
      </w:r>
    </w:p>
    <w:p>
      <w:pPr>
        <w:spacing w:beforeLines="200"/>
        <w:jc w:val="left"/>
        <w:rPr>
          <w:color w:val="000000"/>
        </w:rPr>
      </w:pPr>
      <w:r>
        <w:rPr>
          <w:rFonts w:hint="eastAsia"/>
          <w:color w:val="000000"/>
        </w:rPr>
        <w:drawing>
          <wp:inline distT="0" distB="0" distL="0" distR="0">
            <wp:extent cx="4184015" cy="758825"/>
            <wp:effectExtent l="0" t="0" r="6985" b="3175"/>
            <wp:docPr id="2"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图片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84015" cy="758825"/>
                    </a:xfrm>
                    <a:prstGeom prst="rect">
                      <a:avLst/>
                    </a:prstGeom>
                    <a:noFill/>
                    <a:ln>
                      <a:noFill/>
                    </a:ln>
                    <a:effectLst/>
                  </pic:spPr>
                </pic:pic>
              </a:graphicData>
            </a:graphic>
          </wp:inline>
        </w:drawing>
      </w:r>
      <w:r>
        <w:rPr>
          <w:rFonts w:hint="eastAsia"/>
          <w:color w:val="000000"/>
        </w:rPr>
        <w:t xml:space="preserve">        </w:t>
      </w:r>
    </w:p>
    <w:p>
      <w:pPr>
        <w:shd w:val="clear" w:color="auto" w:fill="FFFFFF"/>
        <w:rPr>
          <w:b/>
          <w:bCs/>
          <w:color w:val="000000"/>
          <w:sz w:val="72"/>
          <w:szCs w:val="72"/>
        </w:rPr>
      </w:pPr>
    </w:p>
    <w:p>
      <w:pPr>
        <w:shd w:val="clear" w:color="auto" w:fill="FFFFFF"/>
        <w:rPr>
          <w:b/>
          <w:bCs/>
          <w:color w:val="000000"/>
          <w:sz w:val="72"/>
          <w:szCs w:val="72"/>
        </w:rPr>
      </w:pPr>
    </w:p>
    <w:p>
      <w:pPr>
        <w:shd w:val="clear" w:color="auto" w:fill="FFFFFF"/>
        <w:rPr>
          <w:b/>
          <w:bCs/>
          <w:color w:val="000000"/>
          <w:sz w:val="72"/>
          <w:szCs w:val="72"/>
        </w:rPr>
      </w:pPr>
    </w:p>
    <w:p>
      <w:pPr>
        <w:shd w:val="clear" w:color="auto" w:fill="FFFFFF"/>
        <w:spacing w:beforeLines="50"/>
        <w:jc w:val="center"/>
        <w:rPr>
          <w:rFonts w:ascii="方正小标宋简体" w:hAnsi="方正小标宋简体" w:eastAsia="方正小标宋简体" w:cs="方正小标宋简体"/>
          <w:b/>
          <w:bCs/>
          <w:color w:val="000000"/>
          <w:spacing w:val="20"/>
          <w:sz w:val="72"/>
          <w:szCs w:val="72"/>
        </w:rPr>
      </w:pPr>
      <w:r>
        <w:rPr>
          <w:rFonts w:hint="eastAsia" w:ascii="方正小标宋简体" w:hAnsi="方正小标宋简体" w:eastAsia="方正小标宋简体" w:cs="方正小标宋简体"/>
          <w:b/>
          <w:bCs/>
          <w:color w:val="000000"/>
          <w:spacing w:val="20"/>
          <w:w w:val="90"/>
          <w:sz w:val="72"/>
          <w:szCs w:val="72"/>
        </w:rPr>
        <w:t>高等职业教育质量年度报告</w:t>
      </w:r>
    </w:p>
    <w:p>
      <w:pPr>
        <w:shd w:val="clear" w:color="auto" w:fill="FFFFFF"/>
        <w:spacing w:beforeLines="50"/>
        <w:jc w:val="center"/>
        <w:rPr>
          <w:rFonts w:ascii="方正小标宋简体" w:hAnsi="方正小标宋简体" w:eastAsia="方正小标宋简体" w:cs="方正小标宋简体"/>
          <w:b/>
          <w:bCs/>
          <w:color w:val="000000"/>
          <w:w w:val="66"/>
          <w:sz w:val="52"/>
          <w:szCs w:val="52"/>
        </w:rPr>
      </w:pPr>
      <w:r>
        <w:rPr>
          <w:rFonts w:hint="eastAsia" w:ascii="方正小标宋简体" w:hAnsi="方正小标宋简体" w:eastAsia="方正小标宋简体" w:cs="方正小标宋简体"/>
          <w:b/>
          <w:bCs/>
          <w:color w:val="000000"/>
          <w:spacing w:val="20"/>
          <w:w w:val="70"/>
          <w:sz w:val="72"/>
          <w:szCs w:val="72"/>
        </w:rPr>
        <w:t>（2020）</w:t>
      </w:r>
    </w:p>
    <w:p>
      <w:pPr>
        <w:jc w:val="center"/>
        <w:rPr>
          <w:rFonts w:ascii="方正小标宋简体" w:hAnsi="方正小标宋简体" w:eastAsia="方正小标宋简体" w:cs="方正小标宋简体"/>
          <w:b/>
          <w:bCs/>
          <w:color w:val="000000"/>
          <w:kern w:val="0"/>
          <w:sz w:val="52"/>
          <w:szCs w:val="52"/>
        </w:rPr>
      </w:pPr>
    </w:p>
    <w:p>
      <w:pPr>
        <w:jc w:val="center"/>
        <w:rPr>
          <w:rFonts w:ascii="方正小标宋简体" w:hAnsi="方正小标宋简体" w:eastAsia="方正小标宋简体" w:cs="方正小标宋简体"/>
          <w:b/>
          <w:bCs/>
          <w:color w:val="000000"/>
          <w:kern w:val="0"/>
          <w:sz w:val="52"/>
          <w:szCs w:val="52"/>
        </w:rPr>
      </w:pPr>
    </w:p>
    <w:p>
      <w:pPr>
        <w:jc w:val="center"/>
        <w:rPr>
          <w:rFonts w:ascii="方正小标宋简体" w:hAnsi="方正小标宋简体" w:eastAsia="方正小标宋简体" w:cs="方正小标宋简体"/>
          <w:b/>
          <w:bCs/>
          <w:color w:val="000000"/>
          <w:kern w:val="0"/>
          <w:sz w:val="52"/>
          <w:szCs w:val="52"/>
        </w:rPr>
      </w:pPr>
    </w:p>
    <w:p>
      <w:pPr>
        <w:jc w:val="center"/>
        <w:rPr>
          <w:rFonts w:ascii="方正小标宋简体" w:hAnsi="方正小标宋简体" w:eastAsia="方正小标宋简体" w:cs="方正小标宋简体"/>
          <w:b/>
          <w:bCs/>
          <w:color w:val="000000"/>
          <w:kern w:val="0"/>
          <w:sz w:val="52"/>
          <w:szCs w:val="52"/>
        </w:rPr>
      </w:pPr>
    </w:p>
    <w:p>
      <w:pPr>
        <w:rPr>
          <w:rFonts w:ascii="幼圆" w:hAnsi="幼圆" w:eastAsia="幼圆" w:cs="幼圆"/>
          <w:b/>
          <w:bCs/>
          <w:color w:val="000000"/>
          <w:kern w:val="0"/>
          <w:sz w:val="32"/>
          <w:szCs w:val="32"/>
        </w:rPr>
      </w:pPr>
    </w:p>
    <w:p>
      <w:pPr>
        <w:spacing w:beforeLines="100"/>
        <w:jc w:val="center"/>
        <w:rPr>
          <w:rFonts w:ascii="黑体" w:hAnsi="黑体" w:eastAsia="黑体" w:cs="黑体"/>
          <w:b/>
          <w:bCs/>
          <w:color w:val="000000"/>
          <w:kern w:val="0"/>
          <w:sz w:val="32"/>
          <w:szCs w:val="32"/>
        </w:rPr>
      </w:pPr>
      <w:r>
        <w:rPr>
          <w:rFonts w:hint="eastAsia" w:ascii="黑体" w:hAnsi="黑体" w:eastAsia="黑体" w:cs="黑体"/>
          <w:b/>
          <w:bCs/>
          <w:color w:val="000000"/>
          <w:kern w:val="0"/>
          <w:sz w:val="32"/>
          <w:szCs w:val="32"/>
        </w:rPr>
        <w:t>二〇一九年十二月</w:t>
      </w:r>
    </w:p>
    <w:p>
      <w:pPr>
        <w:spacing w:beforeLines="50" w:line="560" w:lineRule="exact"/>
        <w:ind w:firstLine="560" w:firstLineChars="200"/>
        <w:rPr>
          <w:rFonts w:ascii="黑体" w:hAnsi="黑体" w:eastAsia="黑体" w:cs="黑体"/>
          <w:color w:val="000000"/>
          <w:sz w:val="28"/>
          <w:szCs w:val="28"/>
        </w:rPr>
        <w:sectPr>
          <w:footerReference r:id="rId4" w:type="first"/>
          <w:headerReference r:id="rId3" w:type="default"/>
          <w:pgSz w:w="11907" w:h="16839"/>
          <w:pgMar w:top="1361" w:right="1417" w:bottom="1361" w:left="1417" w:header="720" w:footer="720" w:gutter="0"/>
          <w:cols w:space="720" w:num="1"/>
          <w:titlePg/>
          <w:docGrid w:type="lines" w:linePitch="312" w:charSpace="0"/>
        </w:sectPr>
      </w:pPr>
    </w:p>
    <w:p>
      <w:pPr>
        <w:pStyle w:val="14"/>
        <w:tabs>
          <w:tab w:val="left" w:pos="795"/>
          <w:tab w:val="right" w:leader="dot" w:pos="9162"/>
        </w:tabs>
        <w:spacing w:beforeLines="150" w:afterLines="150"/>
        <w:rPr>
          <w:rFonts w:ascii="黑体" w:hAnsi="黑体" w:eastAsia="黑体" w:cs="黑体"/>
          <w:color w:val="000000"/>
          <w:sz w:val="32"/>
          <w:szCs w:val="32"/>
        </w:rPr>
      </w:pPr>
      <w:bookmarkStart w:id="0" w:name="_Toc5075"/>
      <w:bookmarkStart w:id="1" w:name="_Toc10622"/>
      <w:bookmarkStart w:id="2" w:name="_Toc17392"/>
      <w:r>
        <w:rPr>
          <w:rFonts w:ascii="黑体" w:hAnsi="黑体" w:eastAsia="黑体" w:cs="黑体"/>
          <w:color w:val="000000"/>
          <w:sz w:val="32"/>
          <w:szCs w:val="32"/>
        </w:rPr>
        <w:tab/>
      </w:r>
      <w:r>
        <w:rPr>
          <w:rFonts w:hint="eastAsia" w:ascii="黑体" w:hAnsi="黑体" w:eastAsia="黑体" w:cs="黑体"/>
          <w:color w:val="000000"/>
          <w:sz w:val="32"/>
          <w:szCs w:val="32"/>
        </w:rPr>
        <w:drawing>
          <wp:inline distT="0" distB="0" distL="0" distR="0">
            <wp:extent cx="5761355" cy="7007860"/>
            <wp:effectExtent l="19050" t="0" r="0" b="0"/>
            <wp:docPr id="14" name="图片 13" descr="扫描彩图 00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扫描彩图 001_副本.jpg"/>
                    <pic:cNvPicPr>
                      <a:picLocks noChangeAspect="1"/>
                    </pic:cNvPicPr>
                  </pic:nvPicPr>
                  <pic:blipFill>
                    <a:blip r:embed="rId8" cstate="print"/>
                    <a:stretch>
                      <a:fillRect/>
                    </a:stretch>
                  </pic:blipFill>
                  <pic:spPr>
                    <a:xfrm>
                      <a:off x="0" y="0"/>
                      <a:ext cx="5761355" cy="7007860"/>
                    </a:xfrm>
                    <a:prstGeom prst="rect">
                      <a:avLst/>
                    </a:prstGeom>
                  </pic:spPr>
                </pic:pic>
              </a:graphicData>
            </a:graphic>
          </wp:inline>
        </w:drawing>
      </w:r>
    </w:p>
    <w:p>
      <w:pPr>
        <w:pStyle w:val="14"/>
        <w:tabs>
          <w:tab w:val="right" w:leader="dot" w:pos="9162"/>
        </w:tabs>
        <w:spacing w:beforeLines="150" w:afterLines="150"/>
        <w:ind w:firstLine="3840" w:firstLineChars="1200"/>
        <w:rPr>
          <w:rFonts w:ascii="黑体" w:hAnsi="黑体" w:eastAsia="黑体" w:cs="黑体"/>
          <w:color w:val="000000"/>
          <w:sz w:val="32"/>
          <w:szCs w:val="32"/>
        </w:rPr>
      </w:pPr>
    </w:p>
    <w:p>
      <w:pPr>
        <w:pStyle w:val="14"/>
        <w:tabs>
          <w:tab w:val="right" w:leader="dot" w:pos="9162"/>
        </w:tabs>
        <w:spacing w:beforeLines="150" w:afterLines="150"/>
        <w:ind w:firstLine="3840" w:firstLineChars="1200"/>
        <w:rPr>
          <w:rFonts w:ascii="黑体" w:hAnsi="黑体" w:eastAsia="黑体" w:cs="黑体"/>
          <w:color w:val="000000"/>
          <w:sz w:val="32"/>
          <w:szCs w:val="32"/>
        </w:rPr>
      </w:pPr>
      <w:r>
        <w:rPr>
          <w:rFonts w:hint="eastAsia" w:ascii="黑体" w:hAnsi="黑体" w:eastAsia="黑体" w:cs="黑体"/>
          <w:color w:val="000000"/>
          <w:sz w:val="32"/>
          <w:szCs w:val="32"/>
        </w:rPr>
        <w:t>目  录</w:t>
      </w:r>
    </w:p>
    <w:p>
      <w:pPr>
        <w:pStyle w:val="14"/>
        <w:tabs>
          <w:tab w:val="right" w:leader="dot" w:pos="9077"/>
        </w:tabs>
        <w:rPr>
          <w:rStyle w:val="26"/>
          <w:rFonts w:ascii="华文细黑" w:hAnsi="华文细黑" w:eastAsia="华文细黑"/>
          <w:b/>
          <w:szCs w:val="21"/>
        </w:rPr>
      </w:pPr>
      <w:r>
        <w:rPr>
          <w:rFonts w:ascii="华文细黑" w:hAnsi="华文细黑" w:eastAsia="华文细黑"/>
          <w:color w:val="000000"/>
          <w:szCs w:val="21"/>
        </w:rPr>
        <w:fldChar w:fldCharType="begin"/>
      </w:r>
      <w:r>
        <w:rPr>
          <w:rFonts w:ascii="华文细黑" w:hAnsi="华文细黑" w:eastAsia="华文细黑"/>
          <w:color w:val="000000"/>
          <w:szCs w:val="21"/>
        </w:rPr>
        <w:instrText xml:space="preserve"> TOC \h \z \t "样式1,1,样式2,2,样式3,3" </w:instrText>
      </w:r>
      <w:r>
        <w:rPr>
          <w:rFonts w:ascii="华文细黑" w:hAnsi="华文细黑" w:eastAsia="华文细黑"/>
          <w:color w:val="000000"/>
          <w:szCs w:val="21"/>
        </w:rPr>
        <w:fldChar w:fldCharType="separate"/>
      </w:r>
      <w:r>
        <w:fldChar w:fldCharType="begin"/>
      </w:r>
      <w:r>
        <w:instrText xml:space="preserve"> HYPERLINK \l "_Toc8370" </w:instrText>
      </w:r>
      <w:r>
        <w:fldChar w:fldCharType="separate"/>
      </w:r>
      <w:r>
        <w:rPr>
          <w:rStyle w:val="26"/>
          <w:rFonts w:hint="eastAsia" w:ascii="华文细黑" w:hAnsi="华文细黑" w:eastAsia="华文细黑"/>
          <w:b/>
          <w:szCs w:val="21"/>
        </w:rPr>
        <w:t>前  言</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_Toc8370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"_Toc32375" </w:instrText>
      </w:r>
      <w:r>
        <w:fldChar w:fldCharType="separate"/>
      </w:r>
      <w:r>
        <w:rPr>
          <w:rStyle w:val="26"/>
          <w:rFonts w:hint="eastAsia" w:ascii="华文细黑" w:hAnsi="华文细黑" w:eastAsia="华文细黑"/>
          <w:b/>
          <w:szCs w:val="21"/>
        </w:rPr>
        <w:t>1  学生发展</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_Toc32375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"_Toc29436" </w:instrText>
      </w:r>
      <w:r>
        <w:fldChar w:fldCharType="separate"/>
      </w:r>
      <w:r>
        <w:rPr>
          <w:rStyle w:val="26"/>
          <w:rFonts w:hint="eastAsia" w:ascii="华文细黑" w:hAnsi="华文细黑" w:eastAsia="华文细黑"/>
          <w:szCs w:val="21"/>
        </w:rPr>
        <w:t>1.1  育人成效</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_Toc29436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"_Toc4641" </w:instrText>
      </w:r>
      <w:r>
        <w:fldChar w:fldCharType="separate"/>
      </w:r>
      <w:r>
        <w:rPr>
          <w:rStyle w:val="26"/>
          <w:rFonts w:hint="eastAsia" w:ascii="华文细黑" w:hAnsi="华文细黑" w:eastAsia="华文细黑"/>
          <w:szCs w:val="21"/>
        </w:rPr>
        <w:t>1.1.1  基本素质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_Toc4641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"_Toc3075" </w:instrText>
      </w:r>
      <w:r>
        <w:fldChar w:fldCharType="separate"/>
      </w:r>
      <w:r>
        <w:rPr>
          <w:rStyle w:val="26"/>
          <w:rFonts w:hint="eastAsia" w:ascii="华文细黑" w:hAnsi="华文细黑" w:eastAsia="华文细黑"/>
          <w:szCs w:val="21"/>
        </w:rPr>
        <w:t>1.1.2  实践能力进一步增强</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_Toc3075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"_Toc28695" </w:instrText>
      </w:r>
      <w:r>
        <w:fldChar w:fldCharType="separate"/>
      </w:r>
      <w:r>
        <w:rPr>
          <w:rStyle w:val="26"/>
          <w:rFonts w:hint="eastAsia" w:ascii="华文细黑" w:hAnsi="华文细黑" w:eastAsia="华文细黑"/>
          <w:szCs w:val="21"/>
        </w:rPr>
        <w:t>【案例1】  师生参加第八届全国高等职业院校日语技能大赛再创佳绩</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_Toc28695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"_Toc1950" </w:instrText>
      </w:r>
      <w:r>
        <w:fldChar w:fldCharType="separate"/>
      </w:r>
      <w:r>
        <w:rPr>
          <w:rStyle w:val="26"/>
          <w:rFonts w:hint="eastAsia" w:ascii="华文细黑" w:hAnsi="华文细黑" w:eastAsia="华文细黑"/>
          <w:szCs w:val="21"/>
        </w:rPr>
        <w:t>1.1.3  身心素质合格率高位稳定</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_Toc1950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"_Toc2798" </w:instrText>
      </w:r>
      <w:r>
        <w:fldChar w:fldCharType="separate"/>
      </w:r>
      <w:r>
        <w:rPr>
          <w:rStyle w:val="26"/>
          <w:rFonts w:hint="eastAsia" w:ascii="华文细黑" w:hAnsi="华文细黑" w:eastAsia="华文细黑"/>
          <w:szCs w:val="21"/>
        </w:rPr>
        <w:t>1.1.4  学生服务</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_Toc2798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"_Toc9150" </w:instrText>
      </w:r>
      <w:r>
        <w:fldChar w:fldCharType="separate"/>
      </w:r>
      <w:r>
        <w:rPr>
          <w:rStyle w:val="26"/>
          <w:rFonts w:hint="eastAsia" w:ascii="华文细黑" w:hAnsi="华文细黑" w:eastAsia="华文细黑"/>
          <w:szCs w:val="21"/>
        </w:rPr>
        <w:t>1.2  就业质量</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_Toc9150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"_Toc12223" </w:instrText>
      </w:r>
      <w:r>
        <w:fldChar w:fldCharType="separate"/>
      </w:r>
      <w:r>
        <w:rPr>
          <w:rStyle w:val="26"/>
          <w:rFonts w:hint="eastAsia" w:ascii="华文细黑" w:hAnsi="华文细黑" w:eastAsia="华文细黑"/>
          <w:szCs w:val="21"/>
        </w:rPr>
        <w:t>1.2.1  毕业生就业率高于全省平均水平</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_Toc12223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"_Toc3165" </w:instrText>
      </w:r>
      <w:r>
        <w:fldChar w:fldCharType="separate"/>
      </w:r>
      <w:r>
        <w:rPr>
          <w:rStyle w:val="26"/>
          <w:rFonts w:hint="eastAsia" w:ascii="华文细黑" w:hAnsi="华文细黑" w:eastAsia="华文细黑"/>
          <w:szCs w:val="21"/>
        </w:rPr>
        <w:t>1.2.2  毕业生对口就业率稳步增长</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_Toc3165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"_Toc10451" </w:instrText>
      </w:r>
      <w:r>
        <w:fldChar w:fldCharType="separate"/>
      </w:r>
      <w:r>
        <w:rPr>
          <w:rStyle w:val="26"/>
          <w:rFonts w:hint="eastAsia" w:ascii="华文细黑" w:hAnsi="华文细黑" w:eastAsia="华文细黑"/>
          <w:szCs w:val="21"/>
        </w:rPr>
        <w:t>1.2.3  就业起薪点</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_Toc10451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bookmarkStart w:id="149" w:name="_GoBack"/>
      <w:bookmarkEnd w:id="149"/>
    </w:p>
    <w:p>
      <w:pPr>
        <w:pStyle w:val="8"/>
        <w:tabs>
          <w:tab w:val="right" w:leader="dot" w:pos="9067"/>
        </w:tabs>
        <w:rPr>
          <w:rStyle w:val="26"/>
          <w:rFonts w:ascii="华文细黑" w:hAnsi="华文细黑" w:eastAsia="华文细黑"/>
          <w:szCs w:val="21"/>
        </w:rPr>
      </w:pPr>
      <w:r>
        <w:fldChar w:fldCharType="begin"/>
      </w:r>
      <w:r>
        <w:instrText xml:space="preserve"> HYPERLINK \l "_Toc24556" </w:instrText>
      </w:r>
      <w:r>
        <w:fldChar w:fldCharType="separate"/>
      </w:r>
      <w:r>
        <w:rPr>
          <w:rStyle w:val="26"/>
          <w:rFonts w:hint="eastAsia" w:ascii="华文细黑" w:hAnsi="华文细黑" w:eastAsia="华文细黑"/>
          <w:szCs w:val="21"/>
        </w:rPr>
        <w:t>1.2.4  就业满意度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_Toc24556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"_Toc27364" </w:instrText>
      </w:r>
      <w:r>
        <w:fldChar w:fldCharType="separate"/>
      </w:r>
      <w:r>
        <w:rPr>
          <w:rStyle w:val="26"/>
          <w:rFonts w:hint="eastAsia" w:ascii="华文细黑" w:hAnsi="华文细黑" w:eastAsia="华文细黑"/>
          <w:szCs w:val="21"/>
        </w:rPr>
        <w:t>1.3 成长成才</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_Toc27364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"_Toc30754" </w:instrText>
      </w:r>
      <w:r>
        <w:fldChar w:fldCharType="separate"/>
      </w:r>
      <w:r>
        <w:rPr>
          <w:rStyle w:val="26"/>
          <w:rFonts w:hint="eastAsia" w:ascii="华文细黑" w:hAnsi="华文细黑" w:eastAsia="华文细黑"/>
          <w:szCs w:val="21"/>
        </w:rPr>
        <w:t xml:space="preserve">1.3.1 </w:t>
      </w:r>
      <w:r>
        <w:rPr>
          <w:rStyle w:val="26"/>
          <w:rFonts w:hint="eastAsia" w:ascii="华文细黑" w:hAnsi="华文细黑" w:eastAsia="华文细黑"/>
          <w:szCs w:val="21"/>
          <w:lang w:val="en-US" w:eastAsia="zh-CN"/>
        </w:rPr>
        <w:t xml:space="preserve"> </w:t>
      </w:r>
      <w:r>
        <w:rPr>
          <w:rStyle w:val="26"/>
          <w:rFonts w:hint="eastAsia" w:ascii="华文细黑" w:hAnsi="华文细黑" w:eastAsia="华文细黑"/>
          <w:szCs w:val="21"/>
        </w:rPr>
        <w:t>毕业生三年后月收入平稳增长</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_Toc30754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"_Toc18723" </w:instrText>
      </w:r>
      <w:r>
        <w:fldChar w:fldCharType="separate"/>
      </w:r>
      <w:r>
        <w:rPr>
          <w:rStyle w:val="26"/>
          <w:rFonts w:hint="eastAsia" w:ascii="华文细黑" w:hAnsi="华文细黑" w:eastAsia="华文细黑"/>
          <w:szCs w:val="21"/>
        </w:rPr>
        <w:t>1.3.2  毕业生三年内职位晋升比例超六成</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_Toc18723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"_Toc8799" </w:instrText>
      </w:r>
      <w:r>
        <w:fldChar w:fldCharType="separate"/>
      </w:r>
      <w:r>
        <w:rPr>
          <w:rStyle w:val="26"/>
          <w:rFonts w:hint="eastAsia" w:ascii="华文细黑" w:hAnsi="华文细黑" w:eastAsia="华文细黑"/>
          <w:szCs w:val="21"/>
        </w:rPr>
        <w:t>1.3.3  职业保持基本稳定</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_Toc8799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"_Toc20126" </w:instrText>
      </w:r>
      <w:r>
        <w:fldChar w:fldCharType="separate"/>
      </w:r>
      <w:r>
        <w:rPr>
          <w:rStyle w:val="26"/>
          <w:rFonts w:hint="eastAsia" w:ascii="华文细黑" w:hAnsi="华文细黑" w:eastAsia="华文细黑"/>
          <w:szCs w:val="21"/>
        </w:rPr>
        <w:t>1.4  创新创业</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_Toc20126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"_Toc3067" </w:instrText>
      </w:r>
      <w:r>
        <w:fldChar w:fldCharType="separate"/>
      </w:r>
      <w:r>
        <w:rPr>
          <w:rStyle w:val="26"/>
          <w:rFonts w:hint="eastAsia" w:ascii="华文细黑" w:hAnsi="华文细黑" w:eastAsia="华文细黑"/>
          <w:szCs w:val="21"/>
        </w:rPr>
        <w:t>1.4.1  学生创新创业能力逐步提升</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_Toc3067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"_Toc4036" </w:instrText>
      </w:r>
      <w:r>
        <w:fldChar w:fldCharType="separate"/>
      </w:r>
      <w:r>
        <w:rPr>
          <w:rStyle w:val="26"/>
          <w:rFonts w:hint="eastAsia" w:ascii="华文细黑" w:hAnsi="华文细黑" w:eastAsia="华文细黑"/>
          <w:szCs w:val="21"/>
        </w:rPr>
        <w:t>1.4.2  学生创新创业意识普遍得到加强</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_Toc4036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"_Toc2618" </w:instrText>
      </w:r>
      <w:r>
        <w:fldChar w:fldCharType="separate"/>
      </w:r>
      <w:r>
        <w:rPr>
          <w:rStyle w:val="26"/>
          <w:rFonts w:hint="eastAsia" w:ascii="华文细黑" w:hAnsi="华文细黑" w:eastAsia="华文细黑"/>
          <w:szCs w:val="21"/>
        </w:rPr>
        <w:t>1.4.3 自主创业存活率超六成</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_Toc2618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"_Toc7445" </w:instrText>
      </w:r>
      <w:r>
        <w:fldChar w:fldCharType="separate"/>
      </w:r>
      <w:r>
        <w:rPr>
          <w:rStyle w:val="26"/>
          <w:rFonts w:hint="eastAsia" w:ascii="华文细黑" w:hAnsi="华文细黑" w:eastAsia="华文细黑"/>
          <w:szCs w:val="21"/>
        </w:rPr>
        <w:t>1.5  计分卡</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_Toc7445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"_Toc25280" </w:instrText>
      </w:r>
      <w:r>
        <w:fldChar w:fldCharType="separate"/>
      </w:r>
      <w:r>
        <w:rPr>
          <w:rStyle w:val="26"/>
          <w:rFonts w:hint="eastAsia" w:ascii="华文细黑" w:hAnsi="华文细黑" w:eastAsia="华文细黑"/>
          <w:b/>
          <w:szCs w:val="21"/>
        </w:rPr>
        <w:t>2  教学改革</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_Toc25280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"_Toc18494" </w:instrText>
      </w:r>
      <w:r>
        <w:fldChar w:fldCharType="separate"/>
      </w:r>
      <w:r>
        <w:rPr>
          <w:rStyle w:val="26"/>
          <w:rFonts w:hint="eastAsia" w:ascii="华文细黑" w:hAnsi="华文细黑" w:eastAsia="华文细黑"/>
          <w:szCs w:val="21"/>
        </w:rPr>
        <w:t>2.1  立德树人</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_Toc18494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"_Toc8372" </w:instrText>
      </w:r>
      <w:r>
        <w:fldChar w:fldCharType="separate"/>
      </w:r>
      <w:r>
        <w:rPr>
          <w:rStyle w:val="26"/>
          <w:rFonts w:hint="eastAsia" w:ascii="华文细黑" w:hAnsi="华文细黑" w:eastAsia="华文细黑"/>
          <w:szCs w:val="21"/>
        </w:rPr>
        <w:t>2.1.1  课程思政推动思政改革创新</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_Toc8372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"_Toc14133" </w:instrText>
      </w:r>
      <w:r>
        <w:fldChar w:fldCharType="separate"/>
      </w:r>
      <w:r>
        <w:rPr>
          <w:rStyle w:val="26"/>
          <w:rFonts w:hint="eastAsia" w:ascii="华文细黑" w:hAnsi="华文细黑" w:eastAsia="华文细黑"/>
          <w:szCs w:val="21"/>
        </w:rPr>
        <w:t>2.1.2  特色社团发展活动为载体的“三全”育人模式</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_Toc14133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"_Toc9206" </w:instrText>
      </w:r>
      <w:r>
        <w:fldChar w:fldCharType="separate"/>
      </w:r>
      <w:r>
        <w:rPr>
          <w:rStyle w:val="26"/>
          <w:rFonts w:hint="eastAsia" w:ascii="华文细黑" w:hAnsi="华文细黑" w:eastAsia="华文细黑"/>
          <w:szCs w:val="21"/>
        </w:rPr>
        <w:t>【案例2】  院团委积极开展活动育人</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_Toc9206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"_Toc23825" </w:instrText>
      </w:r>
      <w:r>
        <w:fldChar w:fldCharType="separate"/>
      </w:r>
      <w:r>
        <w:rPr>
          <w:rStyle w:val="26"/>
          <w:rFonts w:hint="eastAsia" w:ascii="华文细黑" w:hAnsi="华文细黑" w:eastAsia="华文细黑"/>
          <w:szCs w:val="21"/>
        </w:rPr>
        <w:t>2.1.3  培养学生劳动意识和劳动精神</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_Toc23825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"_Toc17176" </w:instrText>
      </w:r>
      <w:r>
        <w:fldChar w:fldCharType="separate"/>
      </w:r>
      <w:r>
        <w:rPr>
          <w:rStyle w:val="26"/>
          <w:rFonts w:hint="eastAsia" w:ascii="华文细黑" w:hAnsi="华文细黑" w:eastAsia="华文细黑"/>
          <w:szCs w:val="21"/>
        </w:rPr>
        <w:t>2.1.4  校企联合培养“芙蓉工匠”</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_Toc17176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"_Toc28330" </w:instrText>
      </w:r>
      <w:r>
        <w:fldChar w:fldCharType="separate"/>
      </w:r>
      <w:r>
        <w:rPr>
          <w:rStyle w:val="26"/>
          <w:rFonts w:hint="eastAsia" w:ascii="华文细黑" w:hAnsi="华文细黑" w:eastAsia="华文细黑"/>
          <w:szCs w:val="21"/>
        </w:rPr>
        <w:t>【案例3】  建筑系与企业合作举行第六届专业技能大赛</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_Toc28330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"_Toc24051" </w:instrText>
      </w:r>
      <w:r>
        <w:fldChar w:fldCharType="separate"/>
      </w:r>
      <w:r>
        <w:rPr>
          <w:rStyle w:val="26"/>
          <w:rFonts w:hint="eastAsia" w:ascii="华文细黑" w:hAnsi="华文细黑" w:eastAsia="华文细黑"/>
          <w:szCs w:val="21"/>
        </w:rPr>
        <w:t>2.2  专业群建设</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_Toc24051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"_Toc22860" </w:instrText>
      </w:r>
      <w:r>
        <w:fldChar w:fldCharType="separate"/>
      </w:r>
      <w:r>
        <w:rPr>
          <w:rStyle w:val="26"/>
          <w:rFonts w:hint="eastAsia" w:ascii="华文细黑" w:hAnsi="华文细黑" w:eastAsia="华文细黑"/>
          <w:szCs w:val="21"/>
        </w:rPr>
        <w:t>2.2.1  根据主导产业发展优化调整专业结构</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_Toc22860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"_Toc28176" </w:instrText>
      </w:r>
      <w:r>
        <w:fldChar w:fldCharType="separate"/>
      </w:r>
      <w:r>
        <w:rPr>
          <w:rStyle w:val="26"/>
          <w:rFonts w:hint="eastAsia" w:ascii="华文细黑" w:hAnsi="华文细黑" w:eastAsia="华文细黑"/>
          <w:szCs w:val="21"/>
        </w:rPr>
        <w:t>2.2.2  校企共建实践教学基地</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_Toc28176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"_Toc13320" </w:instrText>
      </w:r>
      <w:r>
        <w:fldChar w:fldCharType="separate"/>
      </w:r>
      <w:r>
        <w:rPr>
          <w:rStyle w:val="26"/>
          <w:rFonts w:hint="eastAsia" w:ascii="华文细黑" w:hAnsi="华文细黑" w:eastAsia="华文细黑"/>
          <w:szCs w:val="21"/>
        </w:rPr>
        <w:t>【案例4】  航空服务与城轨管理系组织新生到地铁站开展识岗活动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_Toc13320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"_Toc19267" </w:instrText>
      </w:r>
      <w:r>
        <w:fldChar w:fldCharType="separate"/>
      </w:r>
      <w:r>
        <w:rPr>
          <w:rStyle w:val="26"/>
          <w:rFonts w:hint="eastAsia" w:ascii="华文细黑" w:hAnsi="华文细黑" w:eastAsia="华文细黑"/>
          <w:szCs w:val="21"/>
        </w:rPr>
        <w:t>2.2.3  校企共建精品课程</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_Toc19267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"_Toc10331" </w:instrText>
      </w:r>
      <w:r>
        <w:fldChar w:fldCharType="separate"/>
      </w:r>
      <w:r>
        <w:rPr>
          <w:rStyle w:val="26"/>
          <w:rFonts w:hint="eastAsia" w:ascii="华文细黑" w:hAnsi="华文细黑" w:eastAsia="华文细黑"/>
          <w:szCs w:val="21"/>
        </w:rPr>
        <w:t>2.3  校企双元育人</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_Toc10331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"_Toc20004" </w:instrText>
      </w:r>
      <w:r>
        <w:fldChar w:fldCharType="separate"/>
      </w:r>
      <w:r>
        <w:rPr>
          <w:rStyle w:val="26"/>
          <w:rFonts w:hint="eastAsia" w:ascii="华文细黑" w:hAnsi="华文细黑" w:eastAsia="华文细黑"/>
          <w:szCs w:val="21"/>
        </w:rPr>
        <w:t>2.3.1  探索校级现代学徒制试点</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_Toc20004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"_Toc30025" </w:instrText>
      </w:r>
      <w:r>
        <w:fldChar w:fldCharType="separate"/>
      </w:r>
      <w:r>
        <w:rPr>
          <w:rStyle w:val="26"/>
          <w:rFonts w:hint="eastAsia" w:ascii="华文细黑" w:hAnsi="华文细黑" w:eastAsia="华文细黑"/>
          <w:szCs w:val="21"/>
        </w:rPr>
        <w:t>2.3.2  多样化订单培养</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_Toc30025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"_Toc1867" </w:instrText>
      </w:r>
      <w:r>
        <w:fldChar w:fldCharType="separate"/>
      </w:r>
      <w:r>
        <w:rPr>
          <w:rStyle w:val="26"/>
          <w:rFonts w:hint="eastAsia" w:ascii="华文细黑" w:hAnsi="华文细黑" w:eastAsia="华文细黑"/>
          <w:szCs w:val="21"/>
        </w:rPr>
        <w:t>2.3.3  积极参加集团化办学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_Toc1867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"_Toc2081" </w:instrText>
      </w:r>
      <w:r>
        <w:fldChar w:fldCharType="separate"/>
      </w:r>
      <w:r>
        <w:rPr>
          <w:rStyle w:val="26"/>
          <w:rFonts w:hint="eastAsia" w:ascii="华文细黑" w:hAnsi="华文细黑" w:eastAsia="华文细黑"/>
          <w:szCs w:val="21"/>
        </w:rPr>
        <w:t>2.4  “1+X”证书试点制度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_Toc2081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"_Toc14718" </w:instrText>
      </w:r>
      <w:r>
        <w:fldChar w:fldCharType="separate"/>
      </w:r>
      <w:r>
        <w:rPr>
          <w:rStyle w:val="26"/>
          <w:rFonts w:hint="eastAsia" w:ascii="华文细黑" w:hAnsi="华文细黑" w:eastAsia="华文细黑"/>
          <w:szCs w:val="21"/>
        </w:rPr>
        <w:t>2.5  院校治理</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_Toc14718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"_Toc16509" </w:instrText>
      </w:r>
      <w:r>
        <w:fldChar w:fldCharType="separate"/>
      </w:r>
      <w:r>
        <w:rPr>
          <w:rStyle w:val="26"/>
          <w:rFonts w:hint="eastAsia" w:ascii="华文细黑" w:hAnsi="华文细黑" w:eastAsia="华文细黑"/>
          <w:szCs w:val="21"/>
        </w:rPr>
        <w:t>2.5.1  党的领导为教学改革提供坚强保障</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_Toc16509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"_Toc30252" </w:instrText>
      </w:r>
      <w:r>
        <w:fldChar w:fldCharType="separate"/>
      </w:r>
      <w:r>
        <w:rPr>
          <w:rStyle w:val="26"/>
          <w:rFonts w:hint="eastAsia" w:ascii="华文细黑" w:hAnsi="华文细黑" w:eastAsia="华文细黑"/>
          <w:szCs w:val="21"/>
        </w:rPr>
        <w:t>2.5.2  完善制度提升治理能力</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_Toc30252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19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"_Toc24903" </w:instrText>
      </w:r>
      <w:r>
        <w:fldChar w:fldCharType="separate"/>
      </w:r>
      <w:r>
        <w:rPr>
          <w:rStyle w:val="26"/>
          <w:rFonts w:hint="eastAsia" w:ascii="华文细黑" w:hAnsi="华文细黑" w:eastAsia="华文细黑"/>
          <w:szCs w:val="21"/>
        </w:rPr>
        <w:t>2.5.3  两个关键领域进行了改革</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_Toc24903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"_Toc30448" </w:instrText>
      </w:r>
      <w:r>
        <w:fldChar w:fldCharType="separate"/>
      </w:r>
      <w:r>
        <w:rPr>
          <w:rStyle w:val="26"/>
          <w:rFonts w:hint="eastAsia" w:ascii="华文细黑" w:hAnsi="华文细黑" w:eastAsia="华文细黑"/>
          <w:szCs w:val="21"/>
        </w:rPr>
        <w:t>2.6  教师队伍</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_Toc30448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"_Toc32445" </w:instrText>
      </w:r>
      <w:r>
        <w:fldChar w:fldCharType="separate"/>
      </w:r>
      <w:r>
        <w:rPr>
          <w:rStyle w:val="26"/>
          <w:rFonts w:hint="eastAsia" w:ascii="华文细黑" w:hAnsi="华文细黑" w:eastAsia="华文细黑"/>
          <w:szCs w:val="21"/>
        </w:rPr>
        <w:t>2.6.1  教师队伍结构进一步优化</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_Toc32445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"_Toc25579" </w:instrText>
      </w:r>
      <w:r>
        <w:fldChar w:fldCharType="separate"/>
      </w:r>
      <w:r>
        <w:rPr>
          <w:rStyle w:val="26"/>
          <w:rFonts w:hint="eastAsia" w:ascii="华文细黑" w:hAnsi="华文细黑" w:eastAsia="华文细黑"/>
          <w:szCs w:val="21"/>
        </w:rPr>
        <w:t>2.6.2 “双师型”教师培养初见成效</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_Toc25579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"_Toc31187" </w:instrText>
      </w:r>
      <w:r>
        <w:fldChar w:fldCharType="separate"/>
      </w:r>
      <w:r>
        <w:rPr>
          <w:rStyle w:val="26"/>
          <w:rFonts w:hint="eastAsia" w:ascii="华文细黑" w:hAnsi="华文细黑" w:eastAsia="华文细黑"/>
          <w:szCs w:val="21"/>
        </w:rPr>
        <w:t>2.6.3  依托名师工作室建设名师大师队伍</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_Toc31187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"_Toc30264" </w:instrText>
      </w:r>
      <w:r>
        <w:fldChar w:fldCharType="separate"/>
      </w:r>
      <w:r>
        <w:rPr>
          <w:rStyle w:val="26"/>
          <w:rFonts w:hint="eastAsia" w:ascii="华文细黑" w:hAnsi="华文细黑" w:eastAsia="华文细黑"/>
          <w:szCs w:val="21"/>
        </w:rPr>
        <w:t>2.6.4  校企合作共建教学创新团队</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_Toc30264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"_Toc23393" </w:instrText>
      </w:r>
      <w:r>
        <w:fldChar w:fldCharType="separate"/>
      </w:r>
      <w:r>
        <w:rPr>
          <w:rStyle w:val="26"/>
          <w:rFonts w:hint="eastAsia" w:ascii="华文细黑" w:hAnsi="华文细黑" w:eastAsia="华文细黑"/>
          <w:szCs w:val="21"/>
        </w:rPr>
        <w:t>【案例5】  思政教学团队公开课</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_Toc23393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"_Toc7886" </w:instrText>
      </w:r>
      <w:r>
        <w:fldChar w:fldCharType="separate"/>
      </w:r>
      <w:r>
        <w:rPr>
          <w:rStyle w:val="26"/>
          <w:rFonts w:hint="eastAsia" w:ascii="华文细黑" w:hAnsi="华文细黑" w:eastAsia="华文细黑"/>
          <w:szCs w:val="21"/>
        </w:rPr>
        <w:t>2.7  教材教法改革</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_Toc7886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"_Toc13820" </w:instrText>
      </w:r>
      <w:r>
        <w:fldChar w:fldCharType="separate"/>
      </w:r>
      <w:r>
        <w:rPr>
          <w:rStyle w:val="26"/>
          <w:rFonts w:hint="eastAsia" w:ascii="华文细黑" w:hAnsi="华文细黑" w:eastAsia="华文细黑"/>
          <w:szCs w:val="21"/>
        </w:rPr>
        <w:t>2.7.1  教学标准建设紧跟产业需求</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_Toc13820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"_Toc23938" </w:instrText>
      </w:r>
      <w:r>
        <w:fldChar w:fldCharType="separate"/>
      </w:r>
      <w:r>
        <w:rPr>
          <w:rStyle w:val="26"/>
          <w:rFonts w:hint="eastAsia" w:ascii="华文细黑" w:hAnsi="华文细黑" w:eastAsia="华文细黑"/>
          <w:szCs w:val="21"/>
        </w:rPr>
        <w:t>2.7.2  适应产业需求的模块化教学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_Toc23938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"_Toc11123" </w:instrText>
      </w:r>
      <w:r>
        <w:fldChar w:fldCharType="separate"/>
      </w:r>
      <w:r>
        <w:rPr>
          <w:rStyle w:val="26"/>
          <w:rFonts w:hint="eastAsia" w:ascii="华文细黑" w:hAnsi="华文细黑" w:eastAsia="华文细黑"/>
          <w:szCs w:val="21"/>
        </w:rPr>
        <w:t>2.7.3  信息技术与教育教学进一步融合</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_Toc11123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"_Toc4361" </w:instrText>
      </w:r>
      <w:r>
        <w:fldChar w:fldCharType="separate"/>
      </w:r>
      <w:r>
        <w:rPr>
          <w:rStyle w:val="26"/>
          <w:rFonts w:hint="eastAsia" w:ascii="华文细黑" w:hAnsi="华文细黑" w:eastAsia="华文细黑"/>
          <w:szCs w:val="21"/>
        </w:rPr>
        <w:t>2.7.4  校企合作开发教材</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_Toc4361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"_Toc23356" </w:instrText>
      </w:r>
      <w:r>
        <w:fldChar w:fldCharType="separate"/>
      </w:r>
      <w:r>
        <w:rPr>
          <w:rStyle w:val="26"/>
          <w:rFonts w:hint="eastAsia" w:ascii="华文细黑" w:hAnsi="华文细黑" w:eastAsia="华文细黑"/>
          <w:b/>
          <w:szCs w:val="21"/>
        </w:rPr>
        <w:t>3  政策保障</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_Toc23356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"_Toc4142" </w:instrText>
      </w:r>
      <w:r>
        <w:fldChar w:fldCharType="separate"/>
      </w:r>
      <w:r>
        <w:rPr>
          <w:rStyle w:val="26"/>
          <w:rFonts w:hint="eastAsia" w:ascii="华文细黑" w:hAnsi="华文细黑" w:eastAsia="华文细黑"/>
          <w:szCs w:val="21"/>
        </w:rPr>
        <w:t>3.1  政策创新</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_Toc4142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"_Toc26979" </w:instrText>
      </w:r>
      <w:r>
        <w:fldChar w:fldCharType="separate"/>
      </w:r>
      <w:r>
        <w:rPr>
          <w:rStyle w:val="26"/>
          <w:rFonts w:hint="eastAsia" w:ascii="华文细黑" w:hAnsi="华文细黑" w:eastAsia="华文细黑"/>
          <w:szCs w:val="21"/>
        </w:rPr>
        <w:t>3.1.1  政策落实</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_Toc26979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"_Toc7577" </w:instrText>
      </w:r>
      <w:r>
        <w:fldChar w:fldCharType="separate"/>
      </w:r>
      <w:r>
        <w:rPr>
          <w:rStyle w:val="26"/>
          <w:rFonts w:hint="eastAsia" w:ascii="华文细黑" w:hAnsi="华文细黑" w:eastAsia="华文细黑"/>
          <w:szCs w:val="21"/>
        </w:rPr>
        <w:t>3.1.2  改革举措</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_Toc7577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"_Toc2472" </w:instrText>
      </w:r>
      <w:r>
        <w:fldChar w:fldCharType="separate"/>
      </w:r>
      <w:r>
        <w:rPr>
          <w:rStyle w:val="26"/>
          <w:rFonts w:hint="eastAsia" w:ascii="华文细黑" w:hAnsi="华文细黑" w:eastAsia="华文细黑"/>
          <w:szCs w:val="21"/>
        </w:rPr>
        <w:t>3.1.3  发展环境</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_Toc2472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"_Toc4820" </w:instrText>
      </w:r>
      <w:r>
        <w:fldChar w:fldCharType="separate"/>
      </w:r>
      <w:r>
        <w:rPr>
          <w:rStyle w:val="26"/>
          <w:rFonts w:hint="eastAsia" w:ascii="华文细黑" w:hAnsi="华文细黑" w:eastAsia="华文细黑"/>
          <w:szCs w:val="21"/>
        </w:rPr>
        <w:t>3.2  专项引导</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_Toc4820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"_Toc6395" </w:instrText>
      </w:r>
      <w:r>
        <w:fldChar w:fldCharType="separate"/>
      </w:r>
      <w:r>
        <w:rPr>
          <w:rStyle w:val="26"/>
          <w:rFonts w:hint="eastAsia" w:ascii="华文细黑" w:hAnsi="华文细黑" w:eastAsia="华文细黑"/>
          <w:szCs w:val="21"/>
        </w:rPr>
        <w:t>3.2.1  积极培育国家职教项目</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_Toc6395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"_Toc17521" </w:instrText>
      </w:r>
      <w:r>
        <w:fldChar w:fldCharType="separate"/>
      </w:r>
      <w:r>
        <w:rPr>
          <w:rStyle w:val="26"/>
          <w:rFonts w:hint="eastAsia" w:ascii="华文细黑" w:hAnsi="华文细黑" w:eastAsia="华文细黑"/>
          <w:szCs w:val="21"/>
        </w:rPr>
        <w:t>3.2.2  持续推进省示范性（骨干）高职学校建设</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_Toc17521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"_Toc24445" </w:instrText>
      </w:r>
      <w:r>
        <w:fldChar w:fldCharType="separate"/>
      </w:r>
      <w:r>
        <w:rPr>
          <w:rStyle w:val="26"/>
          <w:rFonts w:hint="eastAsia" w:ascii="华文细黑" w:hAnsi="华文细黑" w:eastAsia="华文细黑"/>
          <w:szCs w:val="21"/>
        </w:rPr>
        <w:t>3.2.3  围绕主导产业着力建设三大高水平专业群</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_Toc24445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"_Toc28805" </w:instrText>
      </w:r>
      <w:r>
        <w:fldChar w:fldCharType="separate"/>
      </w:r>
      <w:r>
        <w:rPr>
          <w:rStyle w:val="26"/>
          <w:rFonts w:hint="eastAsia" w:ascii="华文细黑" w:hAnsi="华文细黑" w:eastAsia="华文细黑"/>
          <w:szCs w:val="21"/>
        </w:rPr>
        <w:t>3.3  质量保障</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_Toc28805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"_Toc10134" </w:instrText>
      </w:r>
      <w:r>
        <w:fldChar w:fldCharType="separate"/>
      </w:r>
      <w:r>
        <w:rPr>
          <w:rStyle w:val="26"/>
          <w:rFonts w:hint="eastAsia" w:ascii="华文细黑" w:hAnsi="华文细黑" w:eastAsia="华文细黑"/>
          <w:szCs w:val="21"/>
        </w:rPr>
        <w:t>3.3.1  全面推进教学工作诊改</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_Toc10134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"_Toc20948" </w:instrText>
      </w:r>
      <w:r>
        <w:fldChar w:fldCharType="separate"/>
      </w:r>
      <w:r>
        <w:rPr>
          <w:rStyle w:val="26"/>
          <w:rFonts w:hint="eastAsia" w:ascii="华文细黑" w:hAnsi="华文细黑" w:eastAsia="华文细黑"/>
          <w:szCs w:val="21"/>
        </w:rPr>
        <w:t>3.3.2  不断完善两项抽查制度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_Toc20948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"_Toc31483" </w:instrText>
      </w:r>
      <w:r>
        <w:fldChar w:fldCharType="separate"/>
      </w:r>
      <w:r>
        <w:rPr>
          <w:rStyle w:val="26"/>
          <w:rFonts w:hint="eastAsia" w:ascii="华文细黑" w:hAnsi="华文细黑" w:eastAsia="华文细黑"/>
          <w:szCs w:val="21"/>
        </w:rPr>
        <w:t>3.3.3  建立建全教学管理制度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_Toc31483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"_Toc1364" </w:instrText>
      </w:r>
      <w:r>
        <w:fldChar w:fldCharType="separate"/>
      </w:r>
      <w:r>
        <w:rPr>
          <w:rStyle w:val="26"/>
          <w:rFonts w:hint="eastAsia" w:ascii="华文细黑" w:hAnsi="华文细黑" w:eastAsia="华文细黑"/>
          <w:szCs w:val="21"/>
        </w:rPr>
        <w:t>3.4  经费保障</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_Toc1364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"_Toc7309" </w:instrText>
      </w:r>
      <w:r>
        <w:fldChar w:fldCharType="separate"/>
      </w:r>
      <w:r>
        <w:rPr>
          <w:rStyle w:val="26"/>
          <w:rFonts w:hint="eastAsia" w:ascii="华文细黑" w:hAnsi="华文细黑" w:eastAsia="华文细黑"/>
          <w:szCs w:val="21"/>
        </w:rPr>
        <w:t>3.4.1  生均财政拨款</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_Toc7309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"_Toc7426" </w:instrText>
      </w:r>
      <w:r>
        <w:fldChar w:fldCharType="separate"/>
      </w:r>
      <w:r>
        <w:rPr>
          <w:rStyle w:val="26"/>
          <w:rFonts w:hint="eastAsia" w:ascii="华文细黑" w:hAnsi="华文细黑" w:eastAsia="华文细黑"/>
          <w:szCs w:val="21"/>
        </w:rPr>
        <w:t>3.4.2  生均学费</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_Toc7426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27</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"_Toc20086" </w:instrText>
      </w:r>
      <w:r>
        <w:fldChar w:fldCharType="separate"/>
      </w:r>
      <w:r>
        <w:rPr>
          <w:rStyle w:val="26"/>
          <w:rFonts w:hint="eastAsia" w:ascii="华文细黑" w:hAnsi="华文细黑" w:eastAsia="华文细黑"/>
          <w:szCs w:val="21"/>
        </w:rPr>
        <w:t>3.4.3  举办者投入</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_Toc20086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"_Toc21013" </w:instrText>
      </w:r>
      <w:r>
        <w:fldChar w:fldCharType="separate"/>
      </w:r>
      <w:r>
        <w:rPr>
          <w:rStyle w:val="26"/>
          <w:rFonts w:hint="eastAsia" w:ascii="华文细黑" w:hAnsi="华文细黑" w:eastAsia="华文细黑"/>
          <w:szCs w:val="21"/>
        </w:rPr>
        <w:t>3.4.4  绩效评价</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_Toc21013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"_Toc11763" </w:instrText>
      </w:r>
      <w:r>
        <w:fldChar w:fldCharType="separate"/>
      </w:r>
      <w:r>
        <w:rPr>
          <w:rStyle w:val="26"/>
          <w:rFonts w:hint="eastAsia" w:ascii="华文细黑" w:hAnsi="华文细黑" w:eastAsia="华文细黑"/>
          <w:b/>
          <w:szCs w:val="21"/>
        </w:rPr>
        <w:t>4  国际合作</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_Toc11763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"_Toc6678" </w:instrText>
      </w:r>
      <w:r>
        <w:fldChar w:fldCharType="separate"/>
      </w:r>
      <w:r>
        <w:rPr>
          <w:rStyle w:val="26"/>
          <w:rFonts w:hint="eastAsia" w:ascii="华文细黑" w:hAnsi="华文细黑" w:eastAsia="华文细黑"/>
          <w:szCs w:val="21"/>
        </w:rPr>
        <w:t>4.1  来湘留学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_Toc6678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"_Toc31402" </w:instrText>
      </w:r>
      <w:r>
        <w:fldChar w:fldCharType="separate"/>
      </w:r>
      <w:r>
        <w:rPr>
          <w:rStyle w:val="26"/>
          <w:rFonts w:hint="eastAsia" w:ascii="华文细黑" w:hAnsi="华文细黑" w:eastAsia="华文细黑"/>
          <w:szCs w:val="21"/>
        </w:rPr>
        <w:t>4.2  境外办学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_Toc31402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"_Toc15717" </w:instrText>
      </w:r>
      <w:r>
        <w:fldChar w:fldCharType="separate"/>
      </w:r>
      <w:r>
        <w:rPr>
          <w:rStyle w:val="26"/>
          <w:rFonts w:hint="eastAsia" w:ascii="华文细黑" w:hAnsi="华文细黑" w:eastAsia="华文细黑"/>
          <w:szCs w:val="21"/>
        </w:rPr>
        <w:t>4.3  服务“一带一路”倡议</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_Toc15717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"_Toc3458" </w:instrText>
      </w:r>
      <w:r>
        <w:fldChar w:fldCharType="separate"/>
      </w:r>
      <w:r>
        <w:rPr>
          <w:rStyle w:val="26"/>
          <w:rFonts w:hint="eastAsia" w:ascii="华文细黑" w:hAnsi="华文细黑" w:eastAsia="华文细黑"/>
          <w:szCs w:val="21"/>
        </w:rPr>
        <w:t>4.4  服务湖南“走出去”战略</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_Toc3458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"_Toc17199" </w:instrText>
      </w:r>
      <w:r>
        <w:fldChar w:fldCharType="separate"/>
      </w:r>
      <w:r>
        <w:rPr>
          <w:rStyle w:val="26"/>
          <w:rFonts w:hint="eastAsia" w:ascii="华文细黑" w:hAnsi="华文细黑" w:eastAsia="华文细黑"/>
          <w:b/>
          <w:szCs w:val="21"/>
        </w:rPr>
        <w:t>5  服务贡献</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_Toc17199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"_Toc9039" </w:instrText>
      </w:r>
      <w:r>
        <w:fldChar w:fldCharType="separate"/>
      </w:r>
      <w:r>
        <w:rPr>
          <w:rStyle w:val="26"/>
          <w:rFonts w:hint="eastAsia" w:ascii="华文细黑" w:hAnsi="华文细黑" w:eastAsia="华文细黑"/>
          <w:szCs w:val="21"/>
        </w:rPr>
        <w:t>5.1  落实高职扩招任务</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_Toc9039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"_Toc26091" </w:instrText>
      </w:r>
      <w:r>
        <w:fldChar w:fldCharType="separate"/>
      </w:r>
      <w:r>
        <w:rPr>
          <w:rStyle w:val="26"/>
          <w:rFonts w:hint="eastAsia" w:ascii="华文细黑" w:hAnsi="华文细黑" w:eastAsia="华文细黑"/>
          <w:szCs w:val="21"/>
        </w:rPr>
        <w:t>5.1.1  规模结构</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_Toc26091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29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"_Toc468" </w:instrText>
      </w:r>
      <w:r>
        <w:fldChar w:fldCharType="separate"/>
      </w:r>
      <w:r>
        <w:rPr>
          <w:rStyle w:val="26"/>
          <w:rFonts w:hint="eastAsia" w:ascii="华文细黑" w:hAnsi="华文细黑" w:eastAsia="华文细黑"/>
          <w:szCs w:val="21"/>
        </w:rPr>
        <w:t>5.1.2  确保“质量型”扩招</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_Toc468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"_Toc7374" </w:instrText>
      </w:r>
      <w:r>
        <w:fldChar w:fldCharType="separate"/>
      </w:r>
      <w:r>
        <w:rPr>
          <w:rStyle w:val="26"/>
          <w:rFonts w:hint="eastAsia" w:ascii="华文细黑" w:hAnsi="华文细黑" w:eastAsia="华文细黑"/>
          <w:szCs w:val="21"/>
        </w:rPr>
        <w:t>5.2  开展高质量职业培训</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_Toc7374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"_Toc29165" </w:instrText>
      </w:r>
      <w:r>
        <w:fldChar w:fldCharType="separate"/>
      </w:r>
      <w:r>
        <w:rPr>
          <w:rStyle w:val="26"/>
          <w:rFonts w:hint="eastAsia" w:ascii="华文细黑" w:hAnsi="华文细黑" w:eastAsia="华文细黑"/>
          <w:szCs w:val="21"/>
        </w:rPr>
        <w:t>5.2.1  职业培训能力逐步提高</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_Toc29165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"_Toc27101" </w:instrText>
      </w:r>
      <w:r>
        <w:fldChar w:fldCharType="separate"/>
      </w:r>
      <w:r>
        <w:rPr>
          <w:rStyle w:val="26"/>
          <w:rFonts w:hint="eastAsia" w:ascii="华文细黑" w:hAnsi="华文细黑" w:eastAsia="华文细黑"/>
          <w:szCs w:val="21"/>
        </w:rPr>
        <w:t>5.2.2  扩大培训规模</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_Toc27101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"_Toc8151" </w:instrText>
      </w:r>
      <w:r>
        <w:fldChar w:fldCharType="separate"/>
      </w:r>
      <w:r>
        <w:rPr>
          <w:rStyle w:val="26"/>
          <w:rFonts w:hint="eastAsia" w:ascii="华文细黑" w:hAnsi="华文细黑" w:eastAsia="华文细黑"/>
          <w:szCs w:val="21"/>
        </w:rPr>
        <w:t>5.3  服务国家战略</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_Toc8151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"_Toc22911" </w:instrText>
      </w:r>
      <w:r>
        <w:fldChar w:fldCharType="separate"/>
      </w:r>
      <w:r>
        <w:rPr>
          <w:rStyle w:val="26"/>
          <w:rFonts w:hint="eastAsia" w:ascii="华文细黑" w:hAnsi="华文细黑" w:eastAsia="华文细黑"/>
          <w:szCs w:val="21"/>
        </w:rPr>
        <w:t>5.3.1  服务脱贫攻坚</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_Toc22911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30</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"_Toc15090" </w:instrText>
      </w:r>
      <w:r>
        <w:fldChar w:fldCharType="separate"/>
      </w:r>
      <w:r>
        <w:rPr>
          <w:rStyle w:val="26"/>
          <w:rFonts w:hint="eastAsia" w:ascii="华文细黑" w:hAnsi="华文细黑" w:eastAsia="华文细黑"/>
          <w:szCs w:val="21"/>
        </w:rPr>
        <w:t>5.3.2  服务乡村振兴</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_Toc15090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"_Toc18373" </w:instrText>
      </w:r>
      <w:r>
        <w:fldChar w:fldCharType="separate"/>
      </w:r>
      <w:r>
        <w:rPr>
          <w:rStyle w:val="26"/>
          <w:rFonts w:hint="eastAsia" w:ascii="华文细黑" w:hAnsi="华文细黑" w:eastAsia="华文细黑"/>
          <w:szCs w:val="21"/>
        </w:rPr>
        <w:t>5.3.3  服务《中国制造2025》</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_Toc18373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"_Toc14459" </w:instrText>
      </w:r>
      <w:r>
        <w:fldChar w:fldCharType="separate"/>
      </w:r>
      <w:r>
        <w:rPr>
          <w:rStyle w:val="26"/>
          <w:rFonts w:hint="eastAsia" w:ascii="华文细黑" w:hAnsi="华文细黑" w:eastAsia="华文细黑"/>
          <w:szCs w:val="21"/>
        </w:rPr>
        <w:t>5.4  服务区域发展</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_Toc14459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"_Toc24764" </w:instrText>
      </w:r>
      <w:r>
        <w:fldChar w:fldCharType="separate"/>
      </w:r>
      <w:r>
        <w:rPr>
          <w:rStyle w:val="26"/>
          <w:rFonts w:hint="eastAsia" w:ascii="华文细黑" w:hAnsi="华文细黑" w:eastAsia="华文细黑"/>
          <w:szCs w:val="21"/>
        </w:rPr>
        <w:t>5.4.1  服务“四大板块”</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_Toc24764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"_Toc30978" </w:instrText>
      </w:r>
      <w:r>
        <w:fldChar w:fldCharType="separate"/>
      </w:r>
      <w:r>
        <w:rPr>
          <w:rStyle w:val="26"/>
          <w:rFonts w:hint="eastAsia" w:ascii="华文细黑" w:hAnsi="华文细黑" w:eastAsia="华文细黑"/>
          <w:szCs w:val="21"/>
        </w:rPr>
        <w:t>5.4.2  服务新兴优势产业链</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_Toc30978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"_Toc15493" </w:instrText>
      </w:r>
      <w:r>
        <w:fldChar w:fldCharType="separate"/>
      </w:r>
      <w:r>
        <w:rPr>
          <w:rStyle w:val="26"/>
          <w:rFonts w:hint="eastAsia" w:ascii="华文细黑" w:hAnsi="华文细黑" w:eastAsia="华文细黑"/>
          <w:szCs w:val="21"/>
        </w:rPr>
        <w:t>5.4.3  服务行业企业</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_Toc15493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31</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8"/>
        <w:tabs>
          <w:tab w:val="right" w:leader="dot" w:pos="9067"/>
        </w:tabs>
        <w:rPr>
          <w:rStyle w:val="26"/>
          <w:rFonts w:ascii="华文细黑" w:hAnsi="华文细黑" w:eastAsia="华文细黑"/>
          <w:szCs w:val="21"/>
        </w:rPr>
      </w:pPr>
      <w:r>
        <w:fldChar w:fldCharType="begin"/>
      </w:r>
      <w:r>
        <w:instrText xml:space="preserve"> HYPERLINK \l "_Toc20141" </w:instrText>
      </w:r>
      <w:r>
        <w:fldChar w:fldCharType="separate"/>
      </w:r>
      <w:r>
        <w:rPr>
          <w:rStyle w:val="26"/>
          <w:rFonts w:hint="eastAsia" w:ascii="华文细黑" w:hAnsi="华文细黑" w:eastAsia="华文细黑"/>
          <w:szCs w:val="21"/>
        </w:rPr>
        <w:t>5.4.4  服务社区</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_Toc20141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"_Toc15630" </w:instrText>
      </w:r>
      <w:r>
        <w:fldChar w:fldCharType="separate"/>
      </w:r>
      <w:r>
        <w:rPr>
          <w:rStyle w:val="26"/>
          <w:rFonts w:hint="eastAsia" w:ascii="华文细黑" w:hAnsi="华文细黑" w:eastAsia="华文细黑"/>
          <w:szCs w:val="21"/>
        </w:rPr>
        <w:t>5.5 开展技术研发</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_Toc15630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"_Toc4750" </w:instrText>
      </w:r>
      <w:r>
        <w:fldChar w:fldCharType="separate"/>
      </w:r>
      <w:r>
        <w:rPr>
          <w:rStyle w:val="26"/>
          <w:rFonts w:hint="eastAsia" w:ascii="华文细黑" w:hAnsi="华文细黑" w:eastAsia="华文细黑"/>
          <w:b/>
          <w:szCs w:val="21"/>
        </w:rPr>
        <w:t>6  面临挑战</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_Toc4750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"_Toc17048" </w:instrText>
      </w:r>
      <w:r>
        <w:fldChar w:fldCharType="separate"/>
      </w:r>
      <w:r>
        <w:rPr>
          <w:rStyle w:val="26"/>
          <w:rFonts w:hint="eastAsia" w:ascii="华文细黑" w:hAnsi="华文细黑" w:eastAsia="华文细黑"/>
          <w:szCs w:val="21"/>
        </w:rPr>
        <w:t>6.1  服务“一带一路”倡议挑战国际化办学</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_Toc17048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32</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"_Toc10633" </w:instrText>
      </w:r>
      <w:r>
        <w:fldChar w:fldCharType="separate"/>
      </w:r>
      <w:r>
        <w:rPr>
          <w:rStyle w:val="26"/>
          <w:rFonts w:hint="eastAsia" w:ascii="华文细黑" w:hAnsi="华文细黑" w:eastAsia="华文细黑"/>
          <w:szCs w:val="21"/>
        </w:rPr>
        <w:t>6.2  服务贡献挑战学校服务能力</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_Toc10633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33</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4"/>
        <w:tabs>
          <w:tab w:val="right" w:leader="dot" w:pos="9077"/>
        </w:tabs>
        <w:rPr>
          <w:rStyle w:val="26"/>
          <w:rFonts w:ascii="华文细黑" w:hAnsi="华文细黑" w:eastAsia="华文细黑"/>
          <w:b/>
          <w:szCs w:val="21"/>
        </w:rPr>
      </w:pPr>
      <w:r>
        <w:fldChar w:fldCharType="begin"/>
      </w:r>
      <w:r>
        <w:instrText xml:space="preserve"> HYPERLINK \l "_Toc13685" </w:instrText>
      </w:r>
      <w:r>
        <w:fldChar w:fldCharType="separate"/>
      </w:r>
      <w:r>
        <w:rPr>
          <w:rStyle w:val="26"/>
          <w:rFonts w:hint="eastAsia" w:ascii="华文细黑" w:hAnsi="华文细黑" w:eastAsia="华文细黑"/>
          <w:b/>
          <w:szCs w:val="21"/>
        </w:rPr>
        <w:t>附录</w:t>
      </w:r>
      <w:r>
        <w:rPr>
          <w:rStyle w:val="26"/>
          <w:rFonts w:hint="eastAsia" w:ascii="华文细黑" w:hAnsi="华文细黑" w:eastAsia="华文细黑"/>
          <w:b/>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_Toc13685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"_Toc7592" </w:instrText>
      </w:r>
      <w:r>
        <w:fldChar w:fldCharType="separate"/>
      </w:r>
      <w:r>
        <w:rPr>
          <w:rStyle w:val="26"/>
          <w:rFonts w:hint="eastAsia" w:ascii="华文细黑" w:hAnsi="华文细黑" w:eastAsia="华文细黑"/>
          <w:szCs w:val="21"/>
        </w:rPr>
        <w:t>表1  计分卡</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_Toc7592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34</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"_Toc5788" </w:instrText>
      </w:r>
      <w:r>
        <w:fldChar w:fldCharType="separate"/>
      </w:r>
      <w:r>
        <w:rPr>
          <w:rStyle w:val="26"/>
          <w:rFonts w:hint="eastAsia" w:ascii="华文细黑" w:hAnsi="华文细黑" w:eastAsia="华文细黑"/>
          <w:szCs w:val="21"/>
        </w:rPr>
        <w:t>表2  学生反馈表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_Toc5788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35</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"_Toc22219" </w:instrText>
      </w:r>
      <w:r>
        <w:fldChar w:fldCharType="separate"/>
      </w:r>
      <w:r>
        <w:rPr>
          <w:rStyle w:val="26"/>
          <w:rFonts w:hint="eastAsia" w:ascii="华文细黑" w:hAnsi="华文细黑" w:eastAsia="华文细黑"/>
          <w:szCs w:val="21"/>
        </w:rPr>
        <w:t>表3  资源表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_Toc22219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"_Toc22219" </w:instrText>
      </w:r>
      <w:r>
        <w:fldChar w:fldCharType="separate"/>
      </w:r>
      <w:r>
        <w:rPr>
          <w:rStyle w:val="26"/>
          <w:rFonts w:hint="eastAsia" w:ascii="华文细黑" w:hAnsi="华文细黑" w:eastAsia="华文细黑"/>
          <w:szCs w:val="21"/>
        </w:rPr>
        <w:t>表4  国际影响表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_Toc22219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36</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"_Toc5642" </w:instrText>
      </w:r>
      <w:r>
        <w:fldChar w:fldCharType="separate"/>
      </w:r>
      <w:r>
        <w:rPr>
          <w:rStyle w:val="26"/>
          <w:rFonts w:hint="eastAsia" w:ascii="华文细黑" w:hAnsi="华文细黑" w:eastAsia="华文细黑"/>
          <w:szCs w:val="21"/>
        </w:rPr>
        <w:t>表5  服务贡献表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_Toc5642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38</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67"/>
        </w:tabs>
        <w:rPr>
          <w:rStyle w:val="26"/>
          <w:rFonts w:ascii="华文细黑" w:hAnsi="华文细黑" w:eastAsia="华文细黑"/>
          <w:szCs w:val="21"/>
        </w:rPr>
      </w:pPr>
      <w:r>
        <w:fldChar w:fldCharType="begin"/>
      </w:r>
      <w:r>
        <w:instrText xml:space="preserve"> HYPERLINK \l "_Toc5653" </w:instrText>
      </w:r>
      <w:r>
        <w:fldChar w:fldCharType="separate"/>
      </w:r>
      <w:r>
        <w:rPr>
          <w:rStyle w:val="26"/>
          <w:rFonts w:hint="eastAsia" w:ascii="华文细黑" w:hAnsi="华文细黑" w:eastAsia="华文细黑"/>
          <w:szCs w:val="21"/>
        </w:rPr>
        <w:t>表6  落实政策表</w:t>
      </w:r>
      <w:r>
        <w:rPr>
          <w:rStyle w:val="26"/>
          <w:rFonts w:hint="eastAsia" w:ascii="华文细黑" w:hAnsi="华文细黑" w:eastAsia="华文细黑"/>
          <w:szCs w:val="21"/>
        </w:rPr>
        <w:tab/>
      </w:r>
      <w:r>
        <w:rPr>
          <w:rStyle w:val="26"/>
          <w:rFonts w:hint="eastAsia" w:ascii="华文细黑" w:hAnsi="华文细黑" w:eastAsia="华文细黑"/>
          <w:szCs w:val="21"/>
        </w:rPr>
        <w:fldChar w:fldCharType="begin"/>
      </w:r>
      <w:r>
        <w:rPr>
          <w:rStyle w:val="26"/>
          <w:rFonts w:hint="eastAsia" w:ascii="华文细黑" w:hAnsi="华文细黑" w:eastAsia="华文细黑"/>
          <w:szCs w:val="21"/>
        </w:rPr>
        <w:instrText xml:space="preserve"> PAGEREF _Toc5653 </w:instrText>
      </w:r>
      <w:r>
        <w:rPr>
          <w:rStyle w:val="26"/>
          <w:rFonts w:hint="eastAsia" w:ascii="华文细黑" w:hAnsi="华文细黑" w:eastAsia="华文细黑"/>
          <w:szCs w:val="21"/>
        </w:rPr>
        <w:fldChar w:fldCharType="separate"/>
      </w:r>
      <w:r>
        <w:rPr>
          <w:rStyle w:val="26"/>
          <w:rFonts w:hint="eastAsia" w:ascii="华文细黑" w:hAnsi="华文细黑" w:eastAsia="华文细黑"/>
          <w:szCs w:val="21"/>
        </w:rPr>
        <w:t>39</w:t>
      </w:r>
      <w:r>
        <w:rPr>
          <w:rStyle w:val="26"/>
          <w:rFonts w:hint="eastAsia" w:ascii="华文细黑" w:hAnsi="华文细黑" w:eastAsia="华文细黑"/>
          <w:szCs w:val="21"/>
        </w:rPr>
        <w:fldChar w:fldCharType="end"/>
      </w:r>
      <w:r>
        <w:rPr>
          <w:rStyle w:val="26"/>
          <w:rFonts w:hint="eastAsia" w:ascii="华文细黑" w:hAnsi="华文细黑" w:eastAsia="华文细黑"/>
          <w:szCs w:val="21"/>
        </w:rPr>
        <w:fldChar w:fldCharType="end"/>
      </w:r>
    </w:p>
    <w:p>
      <w:pPr>
        <w:pStyle w:val="17"/>
        <w:tabs>
          <w:tab w:val="right" w:leader="dot" w:pos="9077"/>
        </w:tabs>
        <w:spacing w:line="300" w:lineRule="exact"/>
        <w:rPr>
          <w:rFonts w:ascii="华文细黑" w:hAnsi="华文细黑" w:eastAsia="华文细黑"/>
          <w:color w:val="000000"/>
          <w:szCs w:val="21"/>
        </w:rPr>
        <w:sectPr>
          <w:pgSz w:w="11907" w:h="16839"/>
          <w:pgMar w:top="1361" w:right="1417" w:bottom="1361" w:left="1417" w:header="720" w:footer="720" w:gutter="0"/>
          <w:pgNumType w:start="1"/>
          <w:cols w:space="720" w:num="1"/>
          <w:docGrid w:type="lines" w:linePitch="312" w:charSpace="0"/>
        </w:sectPr>
      </w:pPr>
      <w:r>
        <w:rPr>
          <w:rFonts w:ascii="华文细黑" w:hAnsi="华文细黑" w:eastAsia="华文细黑"/>
          <w:color w:val="000000"/>
          <w:szCs w:val="21"/>
        </w:rPr>
        <w:fldChar w:fldCharType="end"/>
      </w:r>
      <w:bookmarkStart w:id="3" w:name="_Toc20770"/>
    </w:p>
    <w:p>
      <w:pPr>
        <w:pStyle w:val="44"/>
        <w:spacing w:after="312"/>
        <w:ind w:firstLine="3983" w:firstLineChars="1102"/>
        <w:rPr>
          <w:color w:val="000000"/>
        </w:rPr>
      </w:pPr>
      <w:bookmarkStart w:id="4" w:name="_Toc8370"/>
      <w:r>
        <w:rPr>
          <w:rFonts w:hint="eastAsia"/>
        </w:rPr>
        <w:t>前  言</w:t>
      </w:r>
      <w:bookmarkEnd w:id="0"/>
      <w:bookmarkEnd w:id="1"/>
      <w:bookmarkEnd w:id="2"/>
      <w:bookmarkEnd w:id="3"/>
      <w:bookmarkEnd w:id="4"/>
    </w:p>
    <w:p>
      <w:pPr>
        <w:pStyle w:val="50"/>
        <w:rPr>
          <w:sz w:val="30"/>
          <w:szCs w:val="30"/>
        </w:rPr>
      </w:pPr>
      <w:r>
        <w:rPr>
          <w:rFonts w:hint="eastAsia"/>
        </w:rPr>
        <w:t>根据教育部职成司《关于持续做好高等职业教育质量年度报告编制、发布和报送工作的通知》（教职成司函〔2019〕105号）和湖南省教育厅《转发教育部职成司&lt;关于持续做好高等职业教育质量年度报告编制、发布和报送工作的通知&gt;》精神，按照重点展示贯彻习近平总书记关于教育的重要论述和全国教育大会精神的有效举措，形成中央决策部署在高职教育领域的改革实践，特别是服务国家战略、服务地方发展、开展技术研发、服务行业企业、服务学生发展等方面的典型案例；落实高职扩招任务、促进产教融合校企双元育人、开展1+X证书制度试点、开展高质量职业培训、打造“双师型”教师队伍、实施中国特色现代学徒制、健全内部质量保证体系、推进国际交流与合作、培育和传承工匠精神等的具体做法的要求，我院认真总结分析2019年度人才培养工作情况，从学生发展、教学改革、政策保障、国际合作、服务贡献、面临挑战等方面，编制了《湖南都市职业学院高等职业教育质量年度报告（2020）》。</w:t>
      </w:r>
    </w:p>
    <w:p>
      <w:pPr>
        <w:pStyle w:val="50"/>
      </w:pPr>
    </w:p>
    <w:p>
      <w:pPr>
        <w:spacing w:beforeLines="200" w:afterLines="200" w:line="560" w:lineRule="exact"/>
        <w:outlineLvl w:val="0"/>
        <w:rPr>
          <w:rFonts w:ascii="方正小标宋简体" w:hAnsi="方正小标宋简体" w:eastAsia="方正小标宋简体" w:cs="方正小标宋简体"/>
          <w:b/>
          <w:bCs/>
          <w:color w:val="000000"/>
          <w:sz w:val="44"/>
          <w:szCs w:val="44"/>
        </w:rPr>
        <w:sectPr>
          <w:footerReference r:id="rId5" w:type="default"/>
          <w:pgSz w:w="11911" w:h="17342"/>
          <w:pgMar w:top="1361" w:right="1417" w:bottom="1361" w:left="1417" w:header="720" w:footer="720" w:gutter="0"/>
          <w:pgNumType w:start="1"/>
          <w:cols w:space="720" w:num="1"/>
          <w:docGrid w:type="lines" w:linePitch="312" w:charSpace="0"/>
        </w:sectPr>
      </w:pPr>
      <w:bookmarkStart w:id="5" w:name="_Toc22007"/>
      <w:bookmarkStart w:id="6" w:name="_Toc1326"/>
      <w:bookmarkStart w:id="7" w:name="_Toc12158"/>
    </w:p>
    <w:bookmarkEnd w:id="5"/>
    <w:bookmarkEnd w:id="6"/>
    <w:bookmarkEnd w:id="7"/>
    <w:p>
      <w:pPr>
        <w:pStyle w:val="44"/>
        <w:spacing w:after="312"/>
        <w:jc w:val="center"/>
      </w:pPr>
      <w:bookmarkStart w:id="8" w:name="_Toc15554"/>
      <w:bookmarkStart w:id="9" w:name="_Toc9453"/>
      <w:bookmarkStart w:id="10" w:name="_Toc32375"/>
      <w:bookmarkStart w:id="11" w:name="_Toc10648"/>
      <w:r>
        <w:rPr>
          <w:rFonts w:hint="eastAsia"/>
        </w:rPr>
        <w:t>1  学生发展</w:t>
      </w:r>
      <w:bookmarkEnd w:id="8"/>
      <w:bookmarkEnd w:id="9"/>
      <w:bookmarkEnd w:id="10"/>
      <w:bookmarkStart w:id="12" w:name="_Toc29262"/>
      <w:bookmarkStart w:id="13" w:name="_Toc31542"/>
    </w:p>
    <w:p>
      <w:pPr>
        <w:pStyle w:val="46"/>
        <w:spacing w:before="156" w:after="156"/>
      </w:pPr>
      <w:bookmarkStart w:id="14" w:name="_Toc29436"/>
      <w:r>
        <w:rPr>
          <w:rFonts w:hint="eastAsia"/>
        </w:rPr>
        <w:t>1.1  育人成效</w:t>
      </w:r>
      <w:bookmarkEnd w:id="14"/>
    </w:p>
    <w:p>
      <w:pPr>
        <w:pStyle w:val="48"/>
        <w:spacing w:before="78" w:after="78"/>
      </w:pPr>
      <w:bookmarkStart w:id="15" w:name="_Toc4641"/>
      <w:r>
        <w:rPr>
          <w:rFonts w:hint="eastAsia"/>
        </w:rPr>
        <w:t>1.1.1  基本素质</w:t>
      </w:r>
      <w:bookmarkEnd w:id="15"/>
      <w:r>
        <w:rPr>
          <w:rFonts w:hint="eastAsia"/>
        </w:rPr>
        <w:t xml:space="preserve">   </w:t>
      </w:r>
    </w:p>
    <w:bookmarkEnd w:id="11"/>
    <w:bookmarkEnd w:id="12"/>
    <w:bookmarkEnd w:id="13"/>
    <w:p>
      <w:pPr>
        <w:pStyle w:val="50"/>
        <w:ind w:firstLine="562"/>
        <w:rPr>
          <w:highlight w:val="yellow"/>
        </w:rPr>
      </w:pPr>
      <w:bookmarkStart w:id="16" w:name="_Toc28438"/>
      <w:bookmarkStart w:id="17" w:name="_Toc18605"/>
      <w:bookmarkStart w:id="18" w:name="_Toc1817"/>
      <w:bookmarkStart w:id="19" w:name="_Toc16003"/>
      <w:r>
        <w:rPr>
          <w:rFonts w:hint="eastAsia" w:ascii="楷体" w:hAnsi="楷体" w:eastAsia="楷体" w:cs="楷体"/>
          <w:b/>
          <w:bCs/>
        </w:rPr>
        <w:t>理想信念坚定。</w:t>
      </w:r>
      <w:r>
        <w:rPr>
          <w:rFonts w:hint="eastAsia"/>
        </w:rPr>
        <w:t>学院建立了业余党校，通过上党课、开展入党积极分子与党员发展对象培训,开展各种教育活动等措施，引导广大学生树立共产主义远大理想。2019年，有1218名在校学生向党组织递交了入党申请书，占在校生总数的17.7%，810名入党积极分子接受学院业余党校培训并结业，占递交入党申请书人数的66.5%。</w:t>
      </w:r>
    </w:p>
    <w:p>
      <w:pPr>
        <w:pStyle w:val="50"/>
        <w:ind w:firstLine="562"/>
      </w:pPr>
      <w:r>
        <w:rPr>
          <w:rFonts w:hint="eastAsia" w:ascii="楷体" w:hAnsi="楷体" w:eastAsia="楷体" w:cs="楷体"/>
          <w:b/>
          <w:bCs/>
        </w:rPr>
        <w:t>爱国情怀深厚。</w:t>
      </w:r>
      <w:r>
        <w:rPr>
          <w:rFonts w:hint="eastAsia"/>
        </w:rPr>
        <w:t>通过设置调查问卷，从一、二年级分别随机抽取360名学生进行爱国情怀调查，结果表明，有95%以上的学生四项指标选择“符合”或“非常符合”，其中“热爱祖国，立志为祖国奋斗终生”选择“符合”或“非常符合”的比例达100%，爱国情怀已在青年学生心中扎根（见表1-1）。</w:t>
      </w:r>
    </w:p>
    <w:p>
      <w:pPr>
        <w:spacing w:beforeLines="50" w:afterLines="50"/>
        <w:jc w:val="center"/>
        <w:rPr>
          <w:rFonts w:ascii="仿宋_GB2312" w:hAnsi="仿宋_GB2312" w:eastAsia="仿宋_GB2312" w:cs="仿宋_GB2312"/>
          <w:color w:val="000000"/>
          <w:sz w:val="28"/>
          <w:szCs w:val="28"/>
        </w:rPr>
      </w:pPr>
      <w:r>
        <w:rPr>
          <w:rFonts w:hint="eastAsia" w:ascii="黑体" w:hAnsi="黑体" w:eastAsia="黑体" w:cs="黑体"/>
          <w:b/>
          <w:bCs/>
          <w:color w:val="000000"/>
          <w:szCs w:val="21"/>
        </w:rPr>
        <w:t>表1-1  爱国情怀抽样调查情况汇总表</w:t>
      </w:r>
    </w:p>
    <w:tbl>
      <w:tblPr>
        <w:tblStyle w:val="20"/>
        <w:tblW w:w="84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1239"/>
        <w:gridCol w:w="929"/>
        <w:gridCol w:w="992"/>
        <w:gridCol w:w="1134"/>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3109" w:type="dxa"/>
            <w:shd w:val="clear" w:color="auto" w:fill="D99594" w:themeFill="accent2" w:themeFillTint="99"/>
            <w:vAlign w:val="center"/>
          </w:tcPr>
          <w:p>
            <w:pPr>
              <w:pStyle w:val="50"/>
              <w:ind w:firstLine="0" w:firstLineChars="0"/>
              <w:jc w:val="center"/>
              <w:rPr>
                <w:rFonts w:ascii="黑体" w:hAnsi="黑体" w:eastAsia="黑体" w:cs="黑体"/>
                <w:sz w:val="21"/>
                <w:szCs w:val="21"/>
              </w:rPr>
            </w:pPr>
            <w:r>
              <w:rPr>
                <w:rFonts w:hint="eastAsia" w:ascii="黑体" w:hAnsi="黑体" w:eastAsia="黑体" w:cs="黑体"/>
                <w:sz w:val="21"/>
                <w:szCs w:val="21"/>
              </w:rPr>
              <w:t>指标</w:t>
            </w:r>
          </w:p>
        </w:tc>
        <w:tc>
          <w:tcPr>
            <w:tcW w:w="1239" w:type="dxa"/>
            <w:shd w:val="clear" w:color="auto" w:fill="D99594" w:themeFill="accent2" w:themeFillTint="99"/>
            <w:vAlign w:val="center"/>
          </w:tcPr>
          <w:p>
            <w:pPr>
              <w:pStyle w:val="50"/>
              <w:ind w:firstLine="0" w:firstLineChars="0"/>
              <w:jc w:val="center"/>
              <w:rPr>
                <w:rFonts w:ascii="黑体" w:hAnsi="黑体" w:eastAsia="黑体" w:cs="黑体"/>
                <w:sz w:val="21"/>
                <w:szCs w:val="21"/>
              </w:rPr>
            </w:pPr>
            <w:r>
              <w:rPr>
                <w:rFonts w:hint="eastAsia" w:ascii="黑体" w:hAnsi="黑体" w:eastAsia="黑体" w:cs="黑体"/>
                <w:sz w:val="21"/>
                <w:szCs w:val="21"/>
              </w:rPr>
              <w:t>非常符合</w:t>
            </w:r>
          </w:p>
        </w:tc>
        <w:tc>
          <w:tcPr>
            <w:tcW w:w="929" w:type="dxa"/>
            <w:shd w:val="clear" w:color="auto" w:fill="D99594" w:themeFill="accent2" w:themeFillTint="99"/>
            <w:vAlign w:val="center"/>
          </w:tcPr>
          <w:p>
            <w:pPr>
              <w:pStyle w:val="50"/>
              <w:ind w:firstLine="0" w:firstLineChars="0"/>
              <w:jc w:val="center"/>
              <w:rPr>
                <w:rFonts w:ascii="黑体" w:hAnsi="黑体" w:eastAsia="黑体" w:cs="黑体"/>
                <w:sz w:val="21"/>
                <w:szCs w:val="21"/>
              </w:rPr>
            </w:pPr>
            <w:r>
              <w:rPr>
                <w:rFonts w:hint="eastAsia" w:ascii="黑体" w:hAnsi="黑体" w:eastAsia="黑体" w:cs="黑体"/>
                <w:sz w:val="21"/>
                <w:szCs w:val="21"/>
              </w:rPr>
              <w:t>符合</w:t>
            </w:r>
          </w:p>
        </w:tc>
        <w:tc>
          <w:tcPr>
            <w:tcW w:w="992" w:type="dxa"/>
            <w:shd w:val="clear" w:color="auto" w:fill="D99594" w:themeFill="accent2" w:themeFillTint="99"/>
            <w:vAlign w:val="center"/>
          </w:tcPr>
          <w:p>
            <w:pPr>
              <w:pStyle w:val="50"/>
              <w:ind w:firstLine="0" w:firstLineChars="0"/>
              <w:jc w:val="center"/>
              <w:rPr>
                <w:rFonts w:ascii="黑体" w:hAnsi="黑体" w:eastAsia="黑体" w:cs="黑体"/>
                <w:sz w:val="21"/>
                <w:szCs w:val="21"/>
              </w:rPr>
            </w:pPr>
            <w:r>
              <w:rPr>
                <w:rFonts w:hint="eastAsia" w:ascii="黑体" w:hAnsi="黑体" w:eastAsia="黑体" w:cs="黑体"/>
                <w:sz w:val="21"/>
                <w:szCs w:val="21"/>
              </w:rPr>
              <w:t>一般</w:t>
            </w:r>
          </w:p>
        </w:tc>
        <w:tc>
          <w:tcPr>
            <w:tcW w:w="1134" w:type="dxa"/>
            <w:shd w:val="clear" w:color="auto" w:fill="D99594" w:themeFill="accent2" w:themeFillTint="99"/>
            <w:vAlign w:val="center"/>
          </w:tcPr>
          <w:p>
            <w:pPr>
              <w:pStyle w:val="50"/>
              <w:ind w:firstLine="0" w:firstLineChars="0"/>
              <w:jc w:val="center"/>
              <w:rPr>
                <w:rFonts w:ascii="黑体" w:hAnsi="黑体" w:eastAsia="黑体" w:cs="黑体"/>
                <w:sz w:val="21"/>
                <w:szCs w:val="21"/>
              </w:rPr>
            </w:pPr>
            <w:r>
              <w:rPr>
                <w:rFonts w:hint="eastAsia" w:ascii="黑体" w:hAnsi="黑体" w:eastAsia="黑体" w:cs="黑体"/>
                <w:sz w:val="21"/>
                <w:szCs w:val="21"/>
              </w:rPr>
              <w:t>不够符合</w:t>
            </w:r>
          </w:p>
        </w:tc>
        <w:tc>
          <w:tcPr>
            <w:tcW w:w="1056" w:type="dxa"/>
            <w:shd w:val="clear" w:color="auto" w:fill="D99594" w:themeFill="accent2" w:themeFillTint="99"/>
            <w:vAlign w:val="center"/>
          </w:tcPr>
          <w:p>
            <w:pPr>
              <w:pStyle w:val="50"/>
              <w:ind w:firstLine="0" w:firstLineChars="0"/>
              <w:jc w:val="center"/>
              <w:rPr>
                <w:rFonts w:ascii="黑体" w:hAnsi="黑体" w:eastAsia="黑体" w:cs="黑体"/>
                <w:sz w:val="21"/>
                <w:szCs w:val="21"/>
              </w:rPr>
            </w:pPr>
            <w:r>
              <w:rPr>
                <w:rFonts w:hint="eastAsia" w:ascii="黑体" w:hAnsi="黑体" w:eastAsia="黑体" w:cs="黑体"/>
                <w:sz w:val="21"/>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09" w:type="dxa"/>
            <w:shd w:val="clear" w:color="auto" w:fill="FDE9D9" w:themeFill="accent6" w:themeFillTint="33"/>
          </w:tcPr>
          <w:p>
            <w:pPr>
              <w:pStyle w:val="50"/>
              <w:spacing w:line="320" w:lineRule="exact"/>
              <w:ind w:firstLine="0" w:firstLineChars="0"/>
              <w:rPr>
                <w:rFonts w:ascii="楷体" w:hAnsi="楷体" w:eastAsia="楷体" w:cs="楷体"/>
                <w:sz w:val="21"/>
                <w:szCs w:val="21"/>
              </w:rPr>
            </w:pPr>
            <w:r>
              <w:rPr>
                <w:rFonts w:hint="eastAsia" w:ascii="楷体" w:hAnsi="楷体" w:eastAsia="楷体" w:cs="楷体"/>
                <w:sz w:val="21"/>
                <w:szCs w:val="21"/>
              </w:rPr>
              <w:t>热爱祖国，立志为祖国奋斗终生</w:t>
            </w:r>
          </w:p>
        </w:tc>
        <w:tc>
          <w:tcPr>
            <w:tcW w:w="123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333</w:t>
            </w:r>
          </w:p>
        </w:tc>
        <w:tc>
          <w:tcPr>
            <w:tcW w:w="92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27</w:t>
            </w:r>
          </w:p>
        </w:tc>
        <w:tc>
          <w:tcPr>
            <w:tcW w:w="992"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c>
          <w:tcPr>
            <w:tcW w:w="1134"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c>
          <w:tcPr>
            <w:tcW w:w="1056"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09" w:type="dxa"/>
            <w:shd w:val="clear" w:color="auto" w:fill="FDE9D9" w:themeFill="accent6" w:themeFillTint="33"/>
          </w:tcPr>
          <w:p>
            <w:pPr>
              <w:pStyle w:val="50"/>
              <w:spacing w:line="320" w:lineRule="exact"/>
              <w:ind w:firstLine="0" w:firstLineChars="0"/>
              <w:rPr>
                <w:rFonts w:ascii="楷体" w:hAnsi="楷体" w:eastAsia="楷体" w:cs="楷体"/>
                <w:sz w:val="21"/>
                <w:szCs w:val="21"/>
              </w:rPr>
            </w:pPr>
            <w:r>
              <w:rPr>
                <w:rFonts w:hint="eastAsia" w:ascii="楷体" w:hAnsi="楷体" w:eastAsia="楷体" w:cs="楷体"/>
                <w:sz w:val="21"/>
                <w:szCs w:val="21"/>
              </w:rPr>
              <w:t>热爱优秀传统文化，自觉弘扬中华民族的优秀精神</w:t>
            </w:r>
          </w:p>
        </w:tc>
        <w:tc>
          <w:tcPr>
            <w:tcW w:w="123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267</w:t>
            </w:r>
          </w:p>
        </w:tc>
        <w:tc>
          <w:tcPr>
            <w:tcW w:w="92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84</w:t>
            </w:r>
          </w:p>
        </w:tc>
        <w:tc>
          <w:tcPr>
            <w:tcW w:w="992"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9</w:t>
            </w:r>
          </w:p>
        </w:tc>
        <w:tc>
          <w:tcPr>
            <w:tcW w:w="1134"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c>
          <w:tcPr>
            <w:tcW w:w="1056"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09" w:type="dxa"/>
            <w:shd w:val="clear" w:color="auto" w:fill="FDE9D9" w:themeFill="accent6" w:themeFillTint="33"/>
          </w:tcPr>
          <w:p>
            <w:pPr>
              <w:pStyle w:val="50"/>
              <w:spacing w:line="320" w:lineRule="exact"/>
              <w:ind w:firstLine="0" w:firstLineChars="0"/>
              <w:rPr>
                <w:rFonts w:ascii="楷体" w:hAnsi="楷体" w:eastAsia="楷体" w:cs="楷体"/>
                <w:sz w:val="21"/>
                <w:szCs w:val="21"/>
              </w:rPr>
            </w:pPr>
            <w:r>
              <w:rPr>
                <w:rFonts w:hint="eastAsia" w:ascii="楷体" w:hAnsi="楷体" w:eastAsia="楷体" w:cs="楷体"/>
                <w:sz w:val="21"/>
                <w:szCs w:val="21"/>
              </w:rPr>
              <w:t>拥护社会主义制度，积极参与和谐社会建设</w:t>
            </w:r>
          </w:p>
        </w:tc>
        <w:tc>
          <w:tcPr>
            <w:tcW w:w="123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264</w:t>
            </w:r>
          </w:p>
        </w:tc>
        <w:tc>
          <w:tcPr>
            <w:tcW w:w="92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90</w:t>
            </w:r>
          </w:p>
        </w:tc>
        <w:tc>
          <w:tcPr>
            <w:tcW w:w="992"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6</w:t>
            </w:r>
          </w:p>
        </w:tc>
        <w:tc>
          <w:tcPr>
            <w:tcW w:w="1134"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c>
          <w:tcPr>
            <w:tcW w:w="1056"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109" w:type="dxa"/>
            <w:shd w:val="clear" w:color="auto" w:fill="FDE9D9" w:themeFill="accent6" w:themeFillTint="33"/>
            <w:vAlign w:val="center"/>
          </w:tcPr>
          <w:p>
            <w:pPr>
              <w:pStyle w:val="50"/>
              <w:spacing w:line="320" w:lineRule="exact"/>
              <w:ind w:firstLine="0" w:firstLineChars="0"/>
              <w:rPr>
                <w:rFonts w:ascii="楷体" w:hAnsi="楷体" w:eastAsia="楷体" w:cs="楷体"/>
                <w:sz w:val="21"/>
                <w:szCs w:val="21"/>
              </w:rPr>
            </w:pPr>
            <w:r>
              <w:rPr>
                <w:rFonts w:hint="eastAsia" w:ascii="楷体" w:hAnsi="楷体" w:eastAsia="楷体" w:cs="楷体"/>
                <w:sz w:val="21"/>
                <w:szCs w:val="21"/>
              </w:rPr>
              <w:t>关心国家大事</w:t>
            </w:r>
          </w:p>
        </w:tc>
        <w:tc>
          <w:tcPr>
            <w:tcW w:w="123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183</w:t>
            </w:r>
          </w:p>
        </w:tc>
        <w:tc>
          <w:tcPr>
            <w:tcW w:w="929"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162</w:t>
            </w:r>
          </w:p>
        </w:tc>
        <w:tc>
          <w:tcPr>
            <w:tcW w:w="992"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15</w:t>
            </w:r>
          </w:p>
        </w:tc>
        <w:tc>
          <w:tcPr>
            <w:tcW w:w="1134"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c>
          <w:tcPr>
            <w:tcW w:w="1056" w:type="dxa"/>
            <w:shd w:val="clear" w:color="auto" w:fill="FDE9D9" w:themeFill="accent6" w:themeFillTint="33"/>
            <w:vAlign w:val="center"/>
          </w:tcPr>
          <w:p>
            <w:pPr>
              <w:pStyle w:val="50"/>
              <w:spacing w:line="320" w:lineRule="exact"/>
              <w:ind w:firstLine="0" w:firstLineChars="0"/>
              <w:jc w:val="center"/>
              <w:rPr>
                <w:rFonts w:ascii="楷体" w:hAnsi="楷体" w:eastAsia="楷体" w:cs="楷体"/>
                <w:sz w:val="21"/>
                <w:szCs w:val="21"/>
              </w:rPr>
            </w:pPr>
            <w:r>
              <w:rPr>
                <w:rFonts w:hint="eastAsia" w:ascii="楷体" w:hAnsi="楷体" w:eastAsia="楷体" w:cs="楷体"/>
                <w:sz w:val="21"/>
                <w:szCs w:val="21"/>
              </w:rPr>
              <w:t>0</w:t>
            </w:r>
          </w:p>
        </w:tc>
      </w:tr>
    </w:tbl>
    <w:p>
      <w:pPr>
        <w:pStyle w:val="50"/>
        <w:ind w:firstLine="420"/>
        <w:jc w:val="right"/>
        <w:rPr>
          <w:rFonts w:ascii="楷体" w:hAnsi="楷体" w:eastAsia="楷体" w:cs="楷体"/>
          <w:sz w:val="21"/>
          <w:szCs w:val="21"/>
        </w:rPr>
      </w:pPr>
      <w:r>
        <w:rPr>
          <w:rFonts w:hint="eastAsia" w:ascii="楷体" w:hAnsi="楷体" w:eastAsia="楷体" w:cs="楷体"/>
          <w:sz w:val="21"/>
          <w:szCs w:val="21"/>
        </w:rPr>
        <w:t>数据来源：湖南都市职业学院党委办公室抽样调查</w:t>
      </w:r>
    </w:p>
    <w:p>
      <w:pPr>
        <w:pStyle w:val="50"/>
        <w:ind w:firstLine="562"/>
      </w:pPr>
      <w:r>
        <w:rPr>
          <w:rFonts w:hint="eastAsia" w:ascii="楷体" w:hAnsi="楷体" w:eastAsia="楷体" w:cs="楷体"/>
          <w:b/>
          <w:bCs/>
        </w:rPr>
        <w:t>思想品德高尚。</w:t>
      </w:r>
      <w:r>
        <w:rPr>
          <w:rFonts w:hint="eastAsia"/>
        </w:rPr>
        <w:t>学院将立德树人作为根本任务，全面加强党的领导，加强思想政治教育，积极引导学生培育和践行社会主义核心价值观，成长为社会主义建设者和接班人。抽样调查显示，思想品德6项指标选择“符合”或“非常符合”的比例在97%以上，没有选择“不够符合”或“不符合”的学生，社会主义核心价值观已深入青年学生（见表1-2）。</w:t>
      </w:r>
    </w:p>
    <w:p>
      <w:pPr>
        <w:spacing w:afterLines="50" w:line="560" w:lineRule="exact"/>
        <w:jc w:val="center"/>
        <w:rPr>
          <w:rFonts w:ascii="仿宋_GB2312" w:hAnsi="仿宋_GB2312" w:eastAsia="仿宋_GB2312" w:cs="仿宋_GB2312"/>
          <w:color w:val="000000"/>
          <w:sz w:val="28"/>
          <w:szCs w:val="28"/>
        </w:rPr>
      </w:pPr>
      <w:r>
        <w:rPr>
          <w:rFonts w:hint="eastAsia" w:ascii="黑体" w:hAnsi="黑体" w:eastAsia="黑体" w:cs="黑体"/>
          <w:b/>
          <w:bCs/>
          <w:color w:val="000000"/>
          <w:szCs w:val="21"/>
        </w:rPr>
        <w:t>表1-2  思想品德抽样调查情况汇总表</w:t>
      </w:r>
    </w:p>
    <w:tbl>
      <w:tblPr>
        <w:tblStyle w:val="20"/>
        <w:tblW w:w="8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指  标</w:t>
            </w:r>
          </w:p>
        </w:tc>
        <w:tc>
          <w:tcPr>
            <w:tcW w:w="1134"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非常符合</w:t>
            </w:r>
          </w:p>
        </w:tc>
        <w:tc>
          <w:tcPr>
            <w:tcW w:w="1134"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符合</w:t>
            </w:r>
          </w:p>
        </w:tc>
        <w:tc>
          <w:tcPr>
            <w:tcW w:w="1134"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一般</w:t>
            </w:r>
          </w:p>
        </w:tc>
        <w:tc>
          <w:tcPr>
            <w:tcW w:w="1134"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不够符合</w:t>
            </w:r>
          </w:p>
        </w:tc>
        <w:tc>
          <w:tcPr>
            <w:tcW w:w="1134"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FDE9D9" w:themeFill="accent6" w:themeFillTint="33"/>
            <w:vAlign w:val="center"/>
          </w:tcPr>
          <w:p>
            <w:pPr>
              <w:jc w:val="center"/>
              <w:rPr>
                <w:rFonts w:ascii="楷体" w:hAnsi="楷体" w:eastAsia="楷体"/>
              </w:rPr>
            </w:pPr>
            <w:r>
              <w:rPr>
                <w:rFonts w:hint="eastAsia" w:ascii="楷体" w:hAnsi="楷体" w:eastAsia="楷体"/>
              </w:rPr>
              <w:t>自觉遵纪守法，规则意识强</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273</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81</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6</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FDE9D9" w:themeFill="accent6" w:themeFillTint="33"/>
            <w:vAlign w:val="center"/>
          </w:tcPr>
          <w:p>
            <w:pPr>
              <w:jc w:val="center"/>
              <w:rPr>
                <w:rFonts w:ascii="楷体" w:hAnsi="楷体" w:eastAsia="楷体"/>
              </w:rPr>
            </w:pPr>
            <w:r>
              <w:rPr>
                <w:rFonts w:hint="eastAsia" w:ascii="楷体" w:hAnsi="楷体" w:eastAsia="楷体"/>
              </w:rPr>
              <w:t>遵守公德</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264</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93</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3</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FDE9D9" w:themeFill="accent6" w:themeFillTint="33"/>
            <w:vAlign w:val="center"/>
          </w:tcPr>
          <w:p>
            <w:pPr>
              <w:jc w:val="center"/>
              <w:rPr>
                <w:rFonts w:ascii="楷体" w:hAnsi="楷体" w:eastAsia="楷体"/>
              </w:rPr>
            </w:pPr>
            <w:r>
              <w:rPr>
                <w:rFonts w:hint="eastAsia" w:ascii="楷体" w:hAnsi="楷体" w:eastAsia="楷体"/>
              </w:rPr>
              <w:t>有机会总是助人为乐</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243</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105</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12</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FDE9D9" w:themeFill="accent6" w:themeFillTint="33"/>
            <w:vAlign w:val="center"/>
          </w:tcPr>
          <w:p>
            <w:pPr>
              <w:jc w:val="center"/>
              <w:rPr>
                <w:rFonts w:ascii="楷体" w:hAnsi="楷体" w:eastAsia="楷体"/>
              </w:rPr>
            </w:pPr>
            <w:r>
              <w:rPr>
                <w:rFonts w:hint="eastAsia" w:ascii="楷体" w:hAnsi="楷体" w:eastAsia="楷体"/>
              </w:rPr>
              <w:t>总是尊老爱幼</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267</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87</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6</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FDE9D9" w:themeFill="accent6" w:themeFillTint="33"/>
            <w:vAlign w:val="center"/>
          </w:tcPr>
          <w:p>
            <w:pPr>
              <w:jc w:val="center"/>
              <w:rPr>
                <w:rFonts w:ascii="楷体" w:hAnsi="楷体" w:eastAsia="楷体"/>
              </w:rPr>
            </w:pPr>
            <w:r>
              <w:rPr>
                <w:rFonts w:hint="eastAsia" w:ascii="楷体" w:hAnsi="楷体" w:eastAsia="楷体"/>
              </w:rPr>
              <w:t>总是诚信友善</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273</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87</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51" w:type="dxa"/>
            <w:shd w:val="clear" w:color="auto" w:fill="FDE9D9" w:themeFill="accent6" w:themeFillTint="33"/>
            <w:vAlign w:val="center"/>
          </w:tcPr>
          <w:p>
            <w:pPr>
              <w:jc w:val="center"/>
              <w:rPr>
                <w:rFonts w:ascii="楷体" w:hAnsi="楷体" w:eastAsia="楷体"/>
              </w:rPr>
            </w:pPr>
            <w:r>
              <w:rPr>
                <w:rFonts w:hint="eastAsia" w:ascii="楷体" w:hAnsi="楷体" w:eastAsia="楷体"/>
              </w:rPr>
              <w:t>自觉践行社会主义核心价值观</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264</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84</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12</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c>
          <w:tcPr>
            <w:tcW w:w="1134" w:type="dxa"/>
            <w:shd w:val="clear" w:color="auto" w:fill="FDE9D9" w:themeFill="accent6" w:themeFillTint="33"/>
            <w:vAlign w:val="center"/>
          </w:tcPr>
          <w:p>
            <w:pPr>
              <w:jc w:val="center"/>
              <w:rPr>
                <w:rFonts w:ascii="楷体" w:hAnsi="楷体" w:eastAsia="楷体"/>
              </w:rPr>
            </w:pPr>
            <w:r>
              <w:rPr>
                <w:rFonts w:hint="eastAsia" w:ascii="楷体" w:hAnsi="楷体" w:eastAsia="楷体" w:cs="楷体"/>
                <w:color w:val="000000"/>
                <w:szCs w:val="21"/>
              </w:rPr>
              <w:t>0</w:t>
            </w:r>
          </w:p>
        </w:tc>
      </w:tr>
    </w:tbl>
    <w:p>
      <w:pPr>
        <w:pStyle w:val="50"/>
        <w:ind w:firstLine="420"/>
        <w:jc w:val="right"/>
        <w:rPr>
          <w:rFonts w:ascii="楷体" w:hAnsi="楷体" w:eastAsia="楷体" w:cs="楷体"/>
          <w:sz w:val="21"/>
          <w:szCs w:val="21"/>
        </w:rPr>
      </w:pPr>
      <w:r>
        <w:rPr>
          <w:rFonts w:hint="eastAsia" w:ascii="楷体" w:hAnsi="楷体" w:eastAsia="楷体" w:cs="楷体"/>
          <w:sz w:val="21"/>
          <w:szCs w:val="21"/>
        </w:rPr>
        <w:t>数据来源：湖南都市职业学院党委办公室抽样调查</w:t>
      </w:r>
    </w:p>
    <w:p>
      <w:pPr>
        <w:pStyle w:val="50"/>
        <w:ind w:firstLine="562"/>
      </w:pPr>
      <w:r>
        <w:rPr>
          <w:rFonts w:hint="eastAsia" w:ascii="楷体" w:hAnsi="楷体" w:eastAsia="楷体" w:cs="楷体"/>
          <w:b/>
          <w:bCs/>
        </w:rPr>
        <w:t>工匠精神入脑化行。</w:t>
      </w:r>
      <w:r>
        <w:rPr>
          <w:rFonts w:hint="eastAsia"/>
        </w:rPr>
        <w:t xml:space="preserve">2019年，学院把培养学生工匠精神摆在更加突出位置，将工匠精神教育和劳动教育渗透到人才培养全过程，广大学生积极践行工匠精神，努力使自己成长为工匠人才。 </w:t>
      </w:r>
    </w:p>
    <w:p>
      <w:pPr>
        <w:pStyle w:val="50"/>
        <w:rPr>
          <w:rFonts w:hint="eastAsia"/>
        </w:rPr>
      </w:pPr>
      <w:r>
        <w:rPr>
          <w:rFonts w:hint="eastAsia"/>
        </w:rPr>
        <w:t>从二、三年级随机抽取1084名学生进行工匠精神调查，工匠精神的各项调查指标均达到较高水平（见表1-3）。体现了在校学生树立了正确的价值观，具备良好的敬业精神和专注的工作态度，具有良好的思想道德素质和职业素养。学生在校期间利用课余时间在学校开放性实训基地进行专业实践和劳动，平均每周达8</w:t>
      </w:r>
      <w:r>
        <w:t>个小时以上</w:t>
      </w:r>
      <w:r>
        <w:rPr>
          <w:rFonts w:hint="eastAsia"/>
        </w:rPr>
        <w:t xml:space="preserve">的超6成，“工匠”培育开始转化为切实行动。  </w:t>
      </w:r>
    </w:p>
    <w:p>
      <w:pPr>
        <w:pStyle w:val="50"/>
        <w:ind w:firstLine="562"/>
        <w:rPr>
          <w:highlight w:val="yellow"/>
        </w:rPr>
      </w:pPr>
      <w:r>
        <w:rPr>
          <w:rFonts w:hint="eastAsia" w:ascii="楷体" w:hAnsi="楷体" w:eastAsia="楷体" w:cs="楷体"/>
          <w:b/>
          <w:bCs/>
        </w:rPr>
        <w:t>人文素质稳步提升。</w:t>
      </w:r>
      <w:r>
        <w:rPr>
          <w:rFonts w:hint="eastAsia"/>
        </w:rPr>
        <w:t>学院共开设人文素质必修课15门，选修课28门，2018年、2019年人文素质课考试及格率分别为92.6%和94.3，优秀率分别为32.6%和35.7%。</w:t>
      </w:r>
    </w:p>
    <w:p>
      <w:pPr>
        <w:pStyle w:val="50"/>
        <w:rPr>
          <w:rFonts w:hint="eastAsia"/>
        </w:rPr>
      </w:pPr>
    </w:p>
    <w:p>
      <w:pPr>
        <w:pStyle w:val="50"/>
        <w:rPr>
          <w:rFonts w:hint="eastAsia"/>
        </w:rPr>
      </w:pPr>
    </w:p>
    <w:p>
      <w:pPr>
        <w:spacing w:afterLines="50" w:line="560" w:lineRule="exact"/>
        <w:jc w:val="center"/>
        <w:rPr>
          <w:rFonts w:ascii="仿宋_GB2312" w:hAnsi="仿宋_GB2312" w:eastAsia="仿宋_GB2312" w:cs="仿宋_GB2312"/>
          <w:color w:val="000000"/>
          <w:sz w:val="28"/>
          <w:szCs w:val="28"/>
        </w:rPr>
      </w:pPr>
      <w:r>
        <w:rPr>
          <w:rFonts w:hint="eastAsia" w:ascii="黑体" w:hAnsi="黑体" w:eastAsia="黑体" w:cs="黑体"/>
          <w:b/>
          <w:bCs/>
          <w:color w:val="000000"/>
          <w:szCs w:val="21"/>
        </w:rPr>
        <w:t>表1-3 工匠精神抽样调查情况汇总表</w:t>
      </w:r>
    </w:p>
    <w:tbl>
      <w:tblPr>
        <w:tblStyle w:val="20"/>
        <w:tblW w:w="8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3"/>
        <w:gridCol w:w="1144"/>
        <w:gridCol w:w="1144"/>
        <w:gridCol w:w="1144"/>
        <w:gridCol w:w="114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指  标</w:t>
            </w:r>
          </w:p>
        </w:tc>
        <w:tc>
          <w:tcPr>
            <w:tcW w:w="1144" w:type="dxa"/>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非常符合</w:t>
            </w:r>
          </w:p>
        </w:tc>
        <w:tc>
          <w:tcPr>
            <w:tcW w:w="1144" w:type="dxa"/>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符合</w:t>
            </w:r>
          </w:p>
        </w:tc>
        <w:tc>
          <w:tcPr>
            <w:tcW w:w="1144" w:type="dxa"/>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一般</w:t>
            </w:r>
          </w:p>
        </w:tc>
        <w:tc>
          <w:tcPr>
            <w:tcW w:w="1144" w:type="dxa"/>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不够符合</w:t>
            </w:r>
          </w:p>
        </w:tc>
        <w:tc>
          <w:tcPr>
            <w:tcW w:w="1144" w:type="dxa"/>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以传承技艺为己任</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544</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381</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137</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勇于创新</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547</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384</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138</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6</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执着专注</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555</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381</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132</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7</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精益求精</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540</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398</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130</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7</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热爱专业</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553</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387</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123</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自信乐观</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603</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365</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101</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10</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503"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遵守职业道德</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633</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364</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77</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w:t>
            </w:r>
          </w:p>
        </w:tc>
        <w:tc>
          <w:tcPr>
            <w:tcW w:w="114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7</w:t>
            </w:r>
          </w:p>
        </w:tc>
      </w:tr>
    </w:tbl>
    <w:p>
      <w:pPr>
        <w:pStyle w:val="50"/>
        <w:ind w:right="840" w:firstLine="3570" w:firstLineChars="1700"/>
        <w:rPr>
          <w:rFonts w:ascii="楷体" w:hAnsi="楷体" w:eastAsia="楷体" w:cs="楷体"/>
          <w:sz w:val="21"/>
          <w:szCs w:val="21"/>
        </w:rPr>
      </w:pPr>
      <w:r>
        <w:rPr>
          <w:rFonts w:hint="eastAsia" w:ascii="楷体" w:hAnsi="楷体" w:eastAsia="楷体" w:cs="楷体"/>
          <w:sz w:val="21"/>
          <w:szCs w:val="21"/>
        </w:rPr>
        <w:t>数据来源：湖南都市职业学院学生工作处抽样调查</w:t>
      </w:r>
    </w:p>
    <w:p>
      <w:pPr>
        <w:pStyle w:val="50"/>
        <w:ind w:firstLine="562"/>
        <w:rPr>
          <w:highlight w:val="yellow"/>
        </w:rPr>
      </w:pPr>
      <w:r>
        <w:rPr>
          <w:rFonts w:hint="eastAsia" w:ascii="楷体" w:hAnsi="楷体" w:eastAsia="楷体" w:cs="楷体"/>
          <w:b/>
          <w:bCs/>
        </w:rPr>
        <w:t>人文素质稳步提升。</w:t>
      </w:r>
      <w:r>
        <w:rPr>
          <w:rFonts w:hint="eastAsia"/>
        </w:rPr>
        <w:t>学院共开设人文素质必修课15门，选修课28门，2018年、2019年人文素质课考试及格率分别为92.6%和94.3，优秀率分别为32.6%和35.7%。</w:t>
      </w:r>
    </w:p>
    <w:p>
      <w:pPr>
        <w:pStyle w:val="48"/>
        <w:spacing w:before="78" w:after="78"/>
      </w:pPr>
      <w:bookmarkStart w:id="20" w:name="_Toc3075"/>
      <w:r>
        <w:rPr>
          <w:rFonts w:hint="eastAsia"/>
        </w:rPr>
        <w:t>1.1.2  实践能力</w:t>
      </w:r>
      <w:bookmarkEnd w:id="20"/>
      <w:r>
        <w:rPr>
          <w:rFonts w:hint="eastAsia"/>
        </w:rPr>
        <w:t>进一步增强</w:t>
      </w:r>
    </w:p>
    <w:p>
      <w:pPr>
        <w:pStyle w:val="50"/>
      </w:pPr>
      <w:r>
        <w:rPr>
          <w:rFonts w:hint="eastAsia"/>
        </w:rPr>
        <w:t>学院重视学生职业能力提升，制定了院级学生职业能力抽查题库。2018年和2019年学生省级毕业设计抽查合格率分别为90%和91.84%，2018 年和</w:t>
      </w:r>
      <w:r>
        <w:t>201</w:t>
      </w:r>
      <w:r>
        <w:rPr>
          <w:rFonts w:hint="eastAsia"/>
        </w:rPr>
        <w:t>9年全院学生专业技能抽查合格率分别为 85%和90%。在第八届全国高等职业院校日语技能大赛获得大赛团体特等奖和个人演讲三等奖,在中国交通教育研究会主办的全国高校2019年第三届“长风杯”大数据分析与挖掘赛（省赛）获得三等奖。</w:t>
      </w:r>
    </w:p>
    <w:tbl>
      <w:tblPr>
        <w:tblStyle w:val="20"/>
        <w:tblW w:w="9180" w:type="dxa"/>
        <w:jc w:val="center"/>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jc w:val="center"/>
        </w:trPr>
        <w:tc>
          <w:tcPr>
            <w:tcW w:w="9180" w:type="dxa"/>
            <w:shd w:val="clear" w:color="auto" w:fill="D99594" w:themeFill="accent2" w:themeFillTint="99"/>
          </w:tcPr>
          <w:p>
            <w:pPr>
              <w:pStyle w:val="48"/>
              <w:spacing w:before="78" w:after="78"/>
              <w:ind w:firstLine="0" w:firstLineChars="0"/>
            </w:pPr>
            <w:bookmarkStart w:id="21" w:name="_Toc28695"/>
            <w:r>
              <w:rPr>
                <w:rFonts w:hint="eastAsia"/>
              </w:rPr>
              <w:t>【案例1】  师生参加第八届全国高等职业院校日语技能大赛再创佳绩</w:t>
            </w:r>
            <w:bookmarkEnd w:id="21"/>
          </w:p>
        </w:tc>
      </w:tr>
      <w:tr>
        <w:tblPrEx>
          <w:tblLayout w:type="fixed"/>
          <w:tblCellMar>
            <w:top w:w="0" w:type="dxa"/>
            <w:left w:w="108" w:type="dxa"/>
            <w:bottom w:w="0" w:type="dxa"/>
            <w:right w:w="108" w:type="dxa"/>
          </w:tblCellMar>
        </w:tblPrEx>
        <w:trPr>
          <w:trHeight w:val="616" w:hRule="atLeast"/>
          <w:jc w:val="center"/>
        </w:trPr>
        <w:tc>
          <w:tcPr>
            <w:tcW w:w="9180" w:type="dxa"/>
            <w:shd w:val="clear" w:color="auto" w:fill="FDE9D9" w:themeFill="accent6" w:themeFillTint="33"/>
            <w:vAlign w:val="center"/>
          </w:tcPr>
          <w:p>
            <w:pPr>
              <w:spacing w:line="520" w:lineRule="exact"/>
              <w:ind w:firstLine="480" w:firstLineChars="200"/>
              <w:jc w:val="left"/>
              <w:rPr>
                <w:rFonts w:hint="default" w:ascii="楷体" w:hAnsi="楷体" w:eastAsia="楷体" w:cs="楷体"/>
                <w:bCs/>
                <w:color w:val="000000"/>
                <w:sz w:val="24"/>
                <w:lang w:val="en-US" w:eastAsia="zh-CN"/>
              </w:rPr>
            </w:pPr>
            <w:r>
              <w:rPr>
                <w:rFonts w:hint="eastAsia" w:ascii="楷体" w:hAnsi="楷体" w:eastAsia="楷体" w:cs="楷体"/>
                <w:bCs/>
                <w:color w:val="000000"/>
                <w:sz w:val="24"/>
              </w:rPr>
              <w:t>2019年10月25日-28日，我院日语专业师生参加了第八届全国高等职业院校日语技能大赛。参赛师生充分发扬不惧强手、迎难而上的拼搏精神，众多参赛队伍中，由我院学生葛增旺、邓向阳、王思思、禹龙、袁骞珏组成的团队一举多得了今年首次设立的团体赛项特等奖和个人演讲三等奖，朱丹、付瑶、朱依等3位老师获评优秀指导老师。</w:t>
            </w:r>
            <w:r>
              <w:rPr>
                <w:rFonts w:hint="eastAsia" w:ascii="楷体" w:hAnsi="楷体" w:eastAsia="楷体" w:cs="楷体"/>
                <w:bCs/>
                <w:color w:val="000000"/>
                <w:sz w:val="24"/>
                <w:lang w:eastAsia="zh-CN"/>
              </w:rPr>
              <w:t>图</w:t>
            </w:r>
            <w:r>
              <w:rPr>
                <w:rFonts w:hint="eastAsia" w:ascii="楷体" w:hAnsi="楷体" w:eastAsia="楷体" w:cs="楷体"/>
                <w:bCs/>
                <w:color w:val="000000"/>
                <w:sz w:val="24"/>
                <w:lang w:val="en-US" w:eastAsia="zh-CN"/>
              </w:rPr>
              <w:t>1-1为我院师生在技能大赛颁奖现场接受颁奖。</w:t>
            </w:r>
          </w:p>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该大赛是国内唯一面向高等职业院校学生的全国性日语专业大赛，重点考查学生外语表达、运用水平、职业素养和团队协作能力。本次大赛由中日职业教育联盟主办，南京工业职业技术学院承办，教育部职业院校外语类专业教学指导委员日韩语专业委员会、中国日语教学研究会、教育部高等学校外国语言文学类专业教育指导委员会日语分委员会等协办，是中国职业院校和日本教育文化交流财团与日中教育文化振兴会为实现资源共享，加强教育经贸合作，优化教学模式，在课程开发等领域进行的一次实践性教学演练，为加快现代化职业教育发挥了积极作用。</w:t>
            </w:r>
          </w:p>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深圳职业技术学院、天津滨海职业学院等43所国家和省级示范性（骨干）院校进入了本次决赛。修刚、周异夫、李运博、徐一平、皮细庚等教授和日籍专家担任评委。评委在最后点评时特意提到了湖南都市职业学院的表演有创意</w:t>
            </w:r>
            <w:r>
              <w:rPr>
                <w:rFonts w:hint="eastAsia" w:ascii="宋体" w:hAnsi="宋体" w:cs="宋体"/>
                <w:color w:val="000000"/>
                <w:sz w:val="28"/>
                <w:szCs w:val="28"/>
              </w:rPr>
              <w:t>、</w:t>
            </w:r>
            <w:r>
              <w:rPr>
                <w:rFonts w:hint="eastAsia" w:ascii="楷体" w:hAnsi="楷体" w:eastAsia="楷体" w:cs="楷体"/>
                <w:bCs/>
                <w:color w:val="000000"/>
                <w:sz w:val="24"/>
              </w:rPr>
              <w:t>有内涵。</w:t>
            </w:r>
          </w:p>
        </w:tc>
      </w:tr>
    </w:tbl>
    <w:p>
      <w:pPr>
        <w:pStyle w:val="50"/>
        <w:spacing w:line="240" w:lineRule="auto"/>
        <w:ind w:firstLine="0" w:firstLineChars="0"/>
        <w:jc w:val="center"/>
      </w:pPr>
      <w:r>
        <w:rPr>
          <w:rFonts w:hint="eastAsia"/>
        </w:rPr>
        <w:drawing>
          <wp:inline distT="0" distB="0" distL="114300" distR="114300">
            <wp:extent cx="5592445" cy="2859405"/>
            <wp:effectExtent l="0" t="0" r="8255" b="17145"/>
            <wp:docPr id="11" name="图片 11" descr="陈爱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陈爱群1"/>
                    <pic:cNvPicPr>
                      <a:picLocks noChangeAspect="1"/>
                    </pic:cNvPicPr>
                  </pic:nvPicPr>
                  <pic:blipFill>
                    <a:blip r:embed="rId9" cstate="print"/>
                    <a:stretch>
                      <a:fillRect/>
                    </a:stretch>
                  </pic:blipFill>
                  <pic:spPr>
                    <a:xfrm>
                      <a:off x="0" y="0"/>
                      <a:ext cx="5592445" cy="2859405"/>
                    </a:xfrm>
                    <a:prstGeom prst="rect">
                      <a:avLst/>
                    </a:prstGeom>
                  </pic:spPr>
                </pic:pic>
              </a:graphicData>
            </a:graphic>
          </wp:inline>
        </w:drawing>
      </w:r>
      <w:r>
        <w:rPr>
          <w:rFonts w:hint="eastAsia" w:ascii="黑体" w:hAnsi="黑体" w:eastAsia="黑体"/>
          <w:bCs/>
          <w:color w:val="00B050"/>
          <w:sz w:val="20"/>
          <w:szCs w:val="20"/>
        </w:rPr>
        <w:t>■图1-1  第八届全国高等职业院校日语技能大赛颁奖现场</w:t>
      </w:r>
    </w:p>
    <w:p>
      <w:pPr>
        <w:pStyle w:val="48"/>
        <w:spacing w:before="78" w:after="78"/>
      </w:pPr>
      <w:bookmarkStart w:id="22" w:name="_Toc1950"/>
      <w:r>
        <w:rPr>
          <w:rFonts w:hint="eastAsia"/>
        </w:rPr>
        <w:t>1.1.3  身心素质合格率高位稳定</w:t>
      </w:r>
      <w:bookmarkEnd w:id="22"/>
    </w:p>
    <w:p>
      <w:pPr>
        <w:pStyle w:val="50"/>
      </w:pPr>
      <w:r>
        <w:rPr>
          <w:rFonts w:hint="eastAsia"/>
        </w:rPr>
        <w:t>学生身心素质测试结果显示，2017—2019年一年级学生体质测试合格率均稳定在95%以上，心理健康普查健康率稳定在92%以上（见图1-2）。</w:t>
      </w:r>
    </w:p>
    <w:p>
      <w:pPr>
        <w:adjustRightInd w:val="0"/>
        <w:spacing w:afterLines="100"/>
        <w:contextualSpacing/>
        <w:jc w:val="center"/>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drawing>
          <wp:inline distT="0" distB="0" distL="0" distR="0">
            <wp:extent cx="4791075" cy="2635250"/>
            <wp:effectExtent l="19050" t="0" r="9525" b="0"/>
            <wp:docPr id="2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pacing w:beforeLines="50" w:afterLines="350"/>
        <w:ind w:firstLine="105" w:firstLineChars="50"/>
        <w:contextualSpacing/>
        <w:jc w:val="center"/>
        <w:rPr>
          <w:rFonts w:ascii="黑体" w:hAnsi="黑体" w:eastAsia="黑体" w:cs="仿宋_GB2312"/>
          <w:color w:val="00B050"/>
          <w:szCs w:val="21"/>
        </w:rPr>
      </w:pPr>
      <w:r>
        <w:rPr>
          <w:rFonts w:hint="eastAsia" w:ascii="黑体" w:hAnsi="黑体" w:eastAsia="黑体" w:cs="仿宋_GB2312"/>
          <w:color w:val="00B050"/>
          <w:szCs w:val="21"/>
        </w:rPr>
        <w:t>■图1-2  2017—2019年学生心理健康普查合格率和体质健康测试合格率</w:t>
      </w:r>
    </w:p>
    <w:p>
      <w:pPr>
        <w:adjustRightInd w:val="0"/>
        <w:spacing w:beforeLines="100" w:line="360" w:lineRule="auto"/>
        <w:ind w:firstLine="420" w:firstLineChars="200"/>
        <w:contextualSpacing/>
        <w:jc w:val="right"/>
        <w:rPr>
          <w:rFonts w:ascii="楷体" w:hAnsi="楷体" w:eastAsia="楷体" w:cs="仿宋_GB2312"/>
          <w:szCs w:val="21"/>
        </w:rPr>
      </w:pPr>
      <w:r>
        <w:rPr>
          <w:rFonts w:hint="eastAsia" w:ascii="楷体" w:hAnsi="楷体" w:eastAsia="楷体" w:cs="仿宋_GB2312"/>
          <w:szCs w:val="21"/>
        </w:rPr>
        <w:t>数据来源：湖南都市职业学院学生工作处</w:t>
      </w:r>
    </w:p>
    <w:p>
      <w:pPr>
        <w:pStyle w:val="48"/>
        <w:spacing w:before="78" w:after="78"/>
      </w:pPr>
      <w:bookmarkStart w:id="23" w:name="_Toc2798"/>
      <w:r>
        <w:rPr>
          <w:rFonts w:hint="eastAsia"/>
        </w:rPr>
        <w:t>1.1.4  学生服务</w:t>
      </w:r>
      <w:bookmarkEnd w:id="23"/>
    </w:p>
    <w:p>
      <w:pPr>
        <w:pStyle w:val="50"/>
      </w:pPr>
      <w:r>
        <w:rPr>
          <w:rFonts w:hint="eastAsia"/>
        </w:rPr>
        <w:t>对一、二年级共4467名学生进行了在校体验满意度问卷调查，调研结果显示除后勤服务外，教书育人满意度、课程教学满意度、管理和服务工作满意度均在95%以上，参与各社团的学生人数达4198人，学生在校体验满意度和活动参与度高（见表1-4）。</w:t>
      </w:r>
    </w:p>
    <w:p>
      <w:pPr>
        <w:widowControl/>
        <w:ind w:firstLine="3780" w:firstLineChars="1800"/>
        <w:rPr>
          <w:rFonts w:ascii="黑体" w:hAnsi="黑体" w:eastAsia="黑体"/>
          <w:szCs w:val="21"/>
        </w:rPr>
      </w:pPr>
      <w:r>
        <w:rPr>
          <w:rFonts w:ascii="黑体" w:hAnsi="黑体" w:eastAsia="黑体"/>
          <w:szCs w:val="21"/>
        </w:rPr>
        <w:t>表</w:t>
      </w:r>
      <w:r>
        <w:rPr>
          <w:rFonts w:hint="eastAsia" w:ascii="黑体" w:hAnsi="黑体" w:eastAsia="黑体"/>
          <w:szCs w:val="21"/>
        </w:rPr>
        <w:t>1-4 学生反馈表</w:t>
      </w:r>
    </w:p>
    <w:tbl>
      <w:tblPr>
        <w:tblStyle w:val="20"/>
        <w:tblW w:w="8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hemeFill="accent6" w:themeFillTint="33"/>
        <w:tblLayout w:type="fixed"/>
        <w:tblCellMar>
          <w:top w:w="0" w:type="dxa"/>
          <w:left w:w="108" w:type="dxa"/>
          <w:bottom w:w="0" w:type="dxa"/>
          <w:right w:w="108" w:type="dxa"/>
        </w:tblCellMar>
      </w:tblPr>
      <w:tblGrid>
        <w:gridCol w:w="709"/>
        <w:gridCol w:w="611"/>
        <w:gridCol w:w="340"/>
        <w:gridCol w:w="693"/>
        <w:gridCol w:w="1007"/>
        <w:gridCol w:w="1244"/>
        <w:gridCol w:w="716"/>
        <w:gridCol w:w="776"/>
        <w:gridCol w:w="901"/>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hemeFill="accent6" w:themeFillTint="33"/>
          <w:tblLayout w:type="fixed"/>
          <w:tblCellMar>
            <w:top w:w="0" w:type="dxa"/>
            <w:left w:w="108" w:type="dxa"/>
            <w:bottom w:w="0" w:type="dxa"/>
            <w:right w:w="108" w:type="dxa"/>
          </w:tblCellMar>
        </w:tblPrEx>
        <w:trPr>
          <w:trHeight w:val="889" w:hRule="atLeast"/>
          <w:jc w:val="center"/>
        </w:trPr>
        <w:tc>
          <w:tcPr>
            <w:tcW w:w="709" w:type="dxa"/>
            <w:shd w:val="clear" w:color="auto" w:fill="D99594" w:themeFill="accent2" w:themeFillTint="99"/>
          </w:tcPr>
          <w:p>
            <w:pPr>
              <w:jc w:val="center"/>
              <w:rPr>
                <w:rFonts w:ascii="仿宋_GB2312" w:hAnsi="宋体" w:eastAsia="仿宋_GB2312"/>
                <w:b/>
                <w:szCs w:val="21"/>
              </w:rPr>
            </w:pPr>
            <w:r>
              <w:rPr>
                <w:rFonts w:hint="eastAsia" w:ascii="仿宋_GB2312" w:hAnsi="宋体" w:eastAsia="仿宋_GB2312"/>
                <w:b/>
                <w:szCs w:val="21"/>
              </w:rPr>
              <w:t>院校代码</w:t>
            </w:r>
          </w:p>
        </w:tc>
        <w:tc>
          <w:tcPr>
            <w:tcW w:w="611" w:type="dxa"/>
            <w:shd w:val="clear" w:color="auto" w:fill="D99594" w:themeFill="accent2" w:themeFillTint="99"/>
          </w:tcPr>
          <w:p>
            <w:pPr>
              <w:jc w:val="center"/>
              <w:rPr>
                <w:rFonts w:ascii="仿宋_GB2312" w:hAnsi="宋体" w:eastAsia="仿宋_GB2312"/>
                <w:b/>
                <w:szCs w:val="21"/>
              </w:rPr>
            </w:pPr>
            <w:r>
              <w:rPr>
                <w:rFonts w:hint="eastAsia" w:ascii="仿宋_GB2312" w:hAnsi="宋体" w:eastAsia="仿宋_GB2312"/>
                <w:b/>
                <w:szCs w:val="21"/>
              </w:rPr>
              <w:t>院校名称</w:t>
            </w:r>
          </w:p>
        </w:tc>
        <w:tc>
          <w:tcPr>
            <w:tcW w:w="3284" w:type="dxa"/>
            <w:gridSpan w:val="4"/>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指标</w:t>
            </w:r>
          </w:p>
        </w:tc>
        <w:tc>
          <w:tcPr>
            <w:tcW w:w="716"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单位</w:t>
            </w:r>
          </w:p>
        </w:tc>
        <w:tc>
          <w:tcPr>
            <w:tcW w:w="776"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一年级</w:t>
            </w:r>
          </w:p>
        </w:tc>
        <w:tc>
          <w:tcPr>
            <w:tcW w:w="901"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二年级</w:t>
            </w:r>
          </w:p>
        </w:tc>
        <w:tc>
          <w:tcPr>
            <w:tcW w:w="1935"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709" w:type="dxa"/>
            <w:vMerge w:val="restart"/>
            <w:shd w:val="clear" w:color="auto" w:fill="FDE9D9" w:themeFill="accent6" w:themeFillTint="33"/>
          </w:tcPr>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rPr>
                <w:rFonts w:ascii="仿宋_GB2312" w:hAnsi="宋体" w:eastAsia="仿宋_GB2312"/>
                <w:b/>
                <w:sz w:val="18"/>
                <w:szCs w:val="18"/>
              </w:rPr>
            </w:pPr>
            <w:r>
              <w:rPr>
                <w:rFonts w:hint="eastAsia" w:ascii="仿宋_GB2312" w:hAnsi="宋体" w:eastAsia="仿宋_GB2312"/>
                <w:b/>
                <w:sz w:val="18"/>
                <w:szCs w:val="18"/>
              </w:rPr>
              <w:t>14121</w:t>
            </w:r>
          </w:p>
        </w:tc>
        <w:tc>
          <w:tcPr>
            <w:tcW w:w="611" w:type="dxa"/>
            <w:vMerge w:val="restart"/>
            <w:shd w:val="clear" w:color="auto" w:fill="FDE9D9" w:themeFill="accent6" w:themeFillTint="33"/>
          </w:tcPr>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r>
              <w:rPr>
                <w:rFonts w:ascii="仿宋_GB2312" w:hAnsi="宋体" w:eastAsia="仿宋_GB2312"/>
                <w:szCs w:val="21"/>
              </w:rPr>
              <w:t>湖南都市职业学院</w:t>
            </w:r>
          </w:p>
        </w:tc>
        <w:tc>
          <w:tcPr>
            <w:tcW w:w="34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w:t>
            </w:r>
          </w:p>
        </w:tc>
        <w:tc>
          <w:tcPr>
            <w:tcW w:w="294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全日制在校生人数</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人</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4011</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2867</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2</w:t>
            </w:r>
          </w:p>
        </w:tc>
        <w:tc>
          <w:tcPr>
            <w:tcW w:w="294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教书育人满意度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left"/>
              <w:rPr>
                <w:rFonts w:ascii="仿宋_GB2312" w:hAnsi="宋体" w:eastAsia="仿宋_GB2312"/>
                <w:szCs w:val="21"/>
              </w:rPr>
            </w:pPr>
            <w:r>
              <w:rPr>
                <w:rFonts w:hint="eastAsia" w:ascii="仿宋_GB2312" w:hAnsi="宋体" w:eastAsia="仿宋_GB2312"/>
                <w:szCs w:val="21"/>
              </w:rPr>
              <w:t>（1）课堂育人</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人次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2545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1922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vAlign w:val="center"/>
          </w:tcPr>
          <w:p>
            <w:pPr>
              <w:jc w:val="left"/>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95.73</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96.22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left"/>
              <w:rPr>
                <w:rFonts w:ascii="仿宋_GB2312" w:hAnsi="宋体" w:eastAsia="仿宋_GB2312"/>
                <w:szCs w:val="21"/>
              </w:rPr>
            </w:pPr>
            <w:r>
              <w:rPr>
                <w:rFonts w:hint="eastAsia" w:ascii="仿宋_GB2312" w:hAnsi="宋体" w:eastAsia="仿宋_GB2312"/>
                <w:szCs w:val="21"/>
              </w:rPr>
              <w:t>（2）课外育人</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人次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2545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1922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tcPr>
          <w:p>
            <w:pPr>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95.74</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96.14</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3</w:t>
            </w:r>
          </w:p>
        </w:tc>
        <w:tc>
          <w:tcPr>
            <w:tcW w:w="294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课程教学满意度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（1）思想政治课</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调研课次</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课次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200</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200</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97.75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98.12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center"/>
              <w:rPr>
                <w:rFonts w:ascii="仿宋_GB2312" w:hAnsi="宋体" w:eastAsia="仿宋_GB2312"/>
                <w:spacing w:val="-20"/>
                <w:szCs w:val="21"/>
              </w:rPr>
            </w:pPr>
            <w:r>
              <w:rPr>
                <w:rFonts w:hint="eastAsia" w:ascii="仿宋_GB2312" w:hAnsi="宋体" w:eastAsia="仿宋_GB2312"/>
                <w:spacing w:val="-20"/>
                <w:szCs w:val="21"/>
              </w:rPr>
              <w:t>（2）公共基础课（不含思想政治课）</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调研课次</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课次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200</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200</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96.83</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96.69</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（3）专业课教学</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调研课次</w:t>
            </w:r>
          </w:p>
        </w:tc>
        <w:tc>
          <w:tcPr>
            <w:tcW w:w="716" w:type="dxa"/>
            <w:shd w:val="clear" w:color="auto" w:fill="FDE9D9" w:themeFill="accent6" w:themeFillTint="33"/>
            <w:vAlign w:val="center"/>
          </w:tcPr>
          <w:p>
            <w:pPr>
              <w:jc w:val="center"/>
              <w:rPr>
                <w:rFonts w:ascii="仿宋_GB2312" w:hAnsi="宋体" w:eastAsia="仿宋_GB2312"/>
                <w:b/>
                <w:szCs w:val="21"/>
              </w:rPr>
            </w:pPr>
            <w:r>
              <w:rPr>
                <w:rFonts w:hint="eastAsia" w:ascii="仿宋_GB2312" w:hAnsi="宋体" w:eastAsia="仿宋_GB2312"/>
                <w:szCs w:val="21"/>
              </w:rPr>
              <w:t>课次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200</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200</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tcPr>
          <w:p>
            <w:pPr>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96.33</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96.11</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4</w:t>
            </w:r>
          </w:p>
        </w:tc>
        <w:tc>
          <w:tcPr>
            <w:tcW w:w="294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管理和服务工作满意度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（1）学生工作</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6" w:type="dxa"/>
            <w:shd w:val="clear" w:color="auto" w:fill="FDE9D9" w:themeFill="accent6" w:themeFillTint="33"/>
            <w:vAlign w:val="center"/>
          </w:tcPr>
          <w:p>
            <w:pPr>
              <w:jc w:val="center"/>
              <w:rPr>
                <w:rFonts w:ascii="仿宋_GB2312" w:hAnsi="宋体" w:eastAsia="仿宋_GB2312"/>
                <w:szCs w:val="21"/>
              </w:rPr>
            </w:pPr>
            <w:r>
              <w:rPr>
                <w:rFonts w:ascii="仿宋_GB2312" w:hAnsi="宋体" w:eastAsia="仿宋_GB2312"/>
                <w:szCs w:val="21"/>
              </w:rPr>
              <w:t>人次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2545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1922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96.34</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96.83</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（2）教学管理</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6" w:type="dxa"/>
            <w:shd w:val="clear" w:color="auto" w:fill="FDE9D9" w:themeFill="accent6" w:themeFillTint="33"/>
            <w:vAlign w:val="center"/>
          </w:tcPr>
          <w:p>
            <w:pPr>
              <w:jc w:val="center"/>
              <w:rPr>
                <w:rFonts w:ascii="仿宋_GB2312" w:hAnsi="宋体" w:eastAsia="仿宋_GB2312"/>
                <w:szCs w:val="21"/>
              </w:rPr>
            </w:pPr>
            <w:r>
              <w:rPr>
                <w:rFonts w:ascii="仿宋_GB2312" w:hAnsi="宋体" w:eastAsia="仿宋_GB2312"/>
                <w:szCs w:val="21"/>
              </w:rPr>
              <w:t>人次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2545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1922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6"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96.12</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96.87</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Cs w:val="21"/>
              </w:rPr>
            </w:pPr>
          </w:p>
        </w:tc>
        <w:tc>
          <w:tcPr>
            <w:tcW w:w="611" w:type="dxa"/>
            <w:vMerge w:val="continue"/>
            <w:shd w:val="clear" w:color="auto" w:fill="FDE9D9" w:themeFill="accent6" w:themeFillTint="33"/>
          </w:tcPr>
          <w:p>
            <w:pPr>
              <w:jc w:val="center"/>
              <w:rPr>
                <w:rFonts w:ascii="仿宋_GB2312" w:hAnsi="宋体" w:eastAsia="仿宋_GB2312"/>
                <w:szCs w:val="21"/>
              </w:rPr>
            </w:pPr>
          </w:p>
        </w:tc>
        <w:tc>
          <w:tcPr>
            <w:tcW w:w="340" w:type="dxa"/>
            <w:vMerge w:val="continue"/>
            <w:shd w:val="clear" w:color="auto" w:fill="FDE9D9" w:themeFill="accent6" w:themeFillTint="33"/>
            <w:vAlign w:val="center"/>
          </w:tcPr>
          <w:p>
            <w:pPr>
              <w:jc w:val="center"/>
              <w:rPr>
                <w:rFonts w:ascii="仿宋_GB2312" w:hAnsi="宋体" w:eastAsia="仿宋_GB2312"/>
                <w:szCs w:val="21"/>
              </w:rPr>
            </w:pPr>
          </w:p>
        </w:tc>
        <w:tc>
          <w:tcPr>
            <w:tcW w:w="1700"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（3）后勤服务</w:t>
            </w:r>
          </w:p>
        </w:tc>
        <w:tc>
          <w:tcPr>
            <w:tcW w:w="1244"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6" w:type="dxa"/>
            <w:shd w:val="clear" w:color="auto" w:fill="FDE9D9" w:themeFill="accent6" w:themeFillTint="33"/>
            <w:vAlign w:val="center"/>
          </w:tcPr>
          <w:p>
            <w:pPr>
              <w:jc w:val="center"/>
              <w:rPr>
                <w:rFonts w:ascii="仿宋_GB2312" w:hAnsi="宋体" w:eastAsia="仿宋_GB2312"/>
                <w:szCs w:val="21"/>
              </w:rPr>
            </w:pPr>
            <w:r>
              <w:rPr>
                <w:rFonts w:ascii="仿宋_GB2312" w:hAnsi="宋体" w:eastAsia="仿宋_GB2312"/>
                <w:szCs w:val="21"/>
              </w:rPr>
              <w:t>人次</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2545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1922</w:t>
            </w:r>
          </w:p>
        </w:tc>
        <w:tc>
          <w:tcPr>
            <w:tcW w:w="1935"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 w:val="24"/>
              </w:rPr>
            </w:pPr>
          </w:p>
        </w:tc>
        <w:tc>
          <w:tcPr>
            <w:tcW w:w="611" w:type="dxa"/>
            <w:vMerge w:val="continue"/>
            <w:shd w:val="clear" w:color="auto" w:fill="FDE9D9" w:themeFill="accent6" w:themeFillTint="33"/>
          </w:tcPr>
          <w:p>
            <w:pPr>
              <w:jc w:val="center"/>
              <w:rPr>
                <w:rFonts w:ascii="仿宋_GB2312" w:hAnsi="宋体" w:eastAsia="仿宋_GB2312"/>
                <w:sz w:val="24"/>
              </w:rPr>
            </w:pPr>
          </w:p>
        </w:tc>
        <w:tc>
          <w:tcPr>
            <w:tcW w:w="340" w:type="dxa"/>
            <w:vMerge w:val="continue"/>
            <w:shd w:val="clear" w:color="auto" w:fill="FDE9D9" w:themeFill="accent6" w:themeFillTint="33"/>
            <w:vAlign w:val="center"/>
          </w:tcPr>
          <w:p>
            <w:pPr>
              <w:jc w:val="center"/>
              <w:rPr>
                <w:rFonts w:ascii="仿宋_GB2312" w:hAnsi="宋体" w:eastAsia="仿宋_GB2312"/>
                <w:sz w:val="24"/>
              </w:rPr>
            </w:pPr>
          </w:p>
        </w:tc>
        <w:tc>
          <w:tcPr>
            <w:tcW w:w="1700" w:type="dxa"/>
            <w:gridSpan w:val="2"/>
            <w:vMerge w:val="continue"/>
            <w:shd w:val="clear" w:color="auto" w:fill="FDE9D9" w:themeFill="accent6" w:themeFillTint="33"/>
          </w:tcPr>
          <w:p>
            <w:pPr>
              <w:rPr>
                <w:rFonts w:ascii="仿宋_GB2312" w:hAnsi="宋体" w:eastAsia="仿宋_GB2312"/>
                <w:sz w:val="24"/>
              </w:rPr>
            </w:pPr>
          </w:p>
        </w:tc>
        <w:tc>
          <w:tcPr>
            <w:tcW w:w="1244" w:type="dxa"/>
            <w:shd w:val="clear" w:color="auto" w:fill="FDE9D9" w:themeFill="accent6" w:themeFillTint="33"/>
          </w:tcPr>
          <w:p>
            <w:pPr>
              <w:rPr>
                <w:rFonts w:ascii="仿宋_GB2312" w:hAnsi="宋体" w:eastAsia="仿宋_GB2312"/>
                <w:sz w:val="24"/>
              </w:rPr>
            </w:pPr>
            <w:r>
              <w:rPr>
                <w:rFonts w:hint="eastAsia" w:ascii="仿宋_GB2312" w:hAnsi="宋体" w:eastAsia="仿宋_GB2312"/>
                <w:sz w:val="24"/>
              </w:rPr>
              <w:t>满意度</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87.45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87.82</w:t>
            </w:r>
          </w:p>
        </w:tc>
        <w:tc>
          <w:tcPr>
            <w:tcW w:w="1935"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 w:val="24"/>
              </w:rPr>
            </w:pPr>
          </w:p>
        </w:tc>
        <w:tc>
          <w:tcPr>
            <w:tcW w:w="611" w:type="dxa"/>
            <w:vMerge w:val="continue"/>
            <w:shd w:val="clear" w:color="auto" w:fill="FDE9D9" w:themeFill="accent6" w:themeFillTint="33"/>
          </w:tcPr>
          <w:p>
            <w:pPr>
              <w:jc w:val="center"/>
              <w:rPr>
                <w:rFonts w:ascii="仿宋_GB2312" w:hAnsi="宋体" w:eastAsia="仿宋_GB2312"/>
                <w:sz w:val="24"/>
              </w:rPr>
            </w:pPr>
          </w:p>
        </w:tc>
        <w:tc>
          <w:tcPr>
            <w:tcW w:w="34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5</w:t>
            </w:r>
          </w:p>
        </w:tc>
        <w:tc>
          <w:tcPr>
            <w:tcW w:w="294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学生参与志愿者活动时间</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人日</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143.65</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90.5</w:t>
            </w:r>
          </w:p>
        </w:tc>
        <w:tc>
          <w:tcPr>
            <w:tcW w:w="1935"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jc w:val="center"/>
              <w:rPr>
                <w:rFonts w:ascii="仿宋_GB2312" w:hAnsi="宋体" w:eastAsia="仿宋_GB2312"/>
                <w:sz w:val="24"/>
              </w:rPr>
            </w:pPr>
          </w:p>
        </w:tc>
        <w:tc>
          <w:tcPr>
            <w:tcW w:w="611" w:type="dxa"/>
            <w:vMerge w:val="continue"/>
            <w:shd w:val="clear" w:color="auto" w:fill="FDE9D9" w:themeFill="accent6" w:themeFillTint="33"/>
          </w:tcPr>
          <w:p>
            <w:pPr>
              <w:jc w:val="center"/>
              <w:rPr>
                <w:rFonts w:ascii="仿宋_GB2312" w:hAnsi="宋体" w:eastAsia="仿宋_GB2312"/>
                <w:sz w:val="24"/>
              </w:rPr>
            </w:pPr>
          </w:p>
        </w:tc>
        <w:tc>
          <w:tcPr>
            <w:tcW w:w="340" w:type="dxa"/>
            <w:vMerge w:val="restart"/>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6</w:t>
            </w:r>
          </w:p>
        </w:tc>
        <w:tc>
          <w:tcPr>
            <w:tcW w:w="294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学生社团参与度</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p>
        </w:tc>
        <w:tc>
          <w:tcPr>
            <w:tcW w:w="1935"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rPr>
                <w:rFonts w:ascii="仿宋_GB2312" w:hAnsi="宋体" w:eastAsia="仿宋_GB2312"/>
                <w:sz w:val="24"/>
              </w:rPr>
            </w:pPr>
          </w:p>
        </w:tc>
        <w:tc>
          <w:tcPr>
            <w:tcW w:w="611" w:type="dxa"/>
            <w:vMerge w:val="continue"/>
            <w:shd w:val="clear" w:color="auto" w:fill="FDE9D9" w:themeFill="accent6" w:themeFillTint="33"/>
          </w:tcPr>
          <w:p>
            <w:pPr>
              <w:rPr>
                <w:rFonts w:ascii="仿宋_GB2312" w:hAnsi="宋体" w:eastAsia="仿宋_GB2312"/>
                <w:sz w:val="24"/>
              </w:rPr>
            </w:pPr>
          </w:p>
        </w:tc>
        <w:tc>
          <w:tcPr>
            <w:tcW w:w="340" w:type="dxa"/>
            <w:vMerge w:val="continue"/>
            <w:shd w:val="clear" w:color="auto" w:fill="FDE9D9" w:themeFill="accent6" w:themeFillTint="33"/>
          </w:tcPr>
          <w:p>
            <w:pPr>
              <w:rPr>
                <w:rFonts w:ascii="仿宋_GB2312" w:hAnsi="宋体" w:eastAsia="仿宋_GB2312"/>
                <w:sz w:val="24"/>
              </w:rPr>
            </w:pPr>
          </w:p>
        </w:tc>
        <w:tc>
          <w:tcPr>
            <w:tcW w:w="693"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w:t>
            </w:r>
          </w:p>
        </w:tc>
        <w:tc>
          <w:tcPr>
            <w:tcW w:w="2251" w:type="dxa"/>
            <w:gridSpan w:val="2"/>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学生社团数</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个</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21</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21</w:t>
            </w:r>
          </w:p>
        </w:tc>
        <w:tc>
          <w:tcPr>
            <w:tcW w:w="1935"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709" w:type="dxa"/>
            <w:vMerge w:val="continue"/>
            <w:shd w:val="clear" w:color="auto" w:fill="FDE9D9" w:themeFill="accent6" w:themeFillTint="33"/>
          </w:tcPr>
          <w:p>
            <w:pPr>
              <w:rPr>
                <w:rFonts w:ascii="仿宋_GB2312" w:hAnsi="宋体" w:eastAsia="仿宋_GB2312"/>
                <w:sz w:val="24"/>
              </w:rPr>
            </w:pPr>
          </w:p>
        </w:tc>
        <w:tc>
          <w:tcPr>
            <w:tcW w:w="611" w:type="dxa"/>
            <w:vMerge w:val="continue"/>
            <w:shd w:val="clear" w:color="auto" w:fill="FDE9D9" w:themeFill="accent6" w:themeFillTint="33"/>
          </w:tcPr>
          <w:p>
            <w:pPr>
              <w:rPr>
                <w:rFonts w:ascii="仿宋_GB2312" w:hAnsi="宋体" w:eastAsia="仿宋_GB2312"/>
                <w:sz w:val="24"/>
              </w:rPr>
            </w:pPr>
          </w:p>
        </w:tc>
        <w:tc>
          <w:tcPr>
            <w:tcW w:w="340" w:type="dxa"/>
            <w:vMerge w:val="continue"/>
            <w:shd w:val="clear" w:color="auto" w:fill="FDE9D9" w:themeFill="accent6" w:themeFillTint="33"/>
          </w:tcPr>
          <w:p>
            <w:pPr>
              <w:rPr>
                <w:rFonts w:ascii="仿宋_GB2312" w:hAnsi="宋体" w:eastAsia="仿宋_GB2312"/>
                <w:sz w:val="24"/>
              </w:rPr>
            </w:pPr>
          </w:p>
        </w:tc>
        <w:tc>
          <w:tcPr>
            <w:tcW w:w="693" w:type="dxa"/>
            <w:vMerge w:val="continue"/>
            <w:shd w:val="clear" w:color="auto" w:fill="FDE9D9" w:themeFill="accent6" w:themeFillTint="33"/>
          </w:tcPr>
          <w:p>
            <w:pPr>
              <w:ind w:firstLine="420" w:firstLineChars="200"/>
              <w:rPr>
                <w:rFonts w:ascii="仿宋_GB2312" w:hAnsi="宋体" w:eastAsia="仿宋_GB2312"/>
                <w:szCs w:val="21"/>
              </w:rPr>
            </w:pPr>
          </w:p>
        </w:tc>
        <w:tc>
          <w:tcPr>
            <w:tcW w:w="2251" w:type="dxa"/>
            <w:gridSpan w:val="2"/>
            <w:shd w:val="clear" w:color="auto" w:fill="FDE9D9" w:themeFill="accent6" w:themeFillTint="33"/>
          </w:tcPr>
          <w:p>
            <w:pPr>
              <w:ind w:firstLine="210" w:firstLineChars="100"/>
              <w:rPr>
                <w:rFonts w:ascii="仿宋_GB2312" w:hAnsi="宋体" w:eastAsia="仿宋_GB2312"/>
                <w:szCs w:val="21"/>
              </w:rPr>
            </w:pPr>
            <w:r>
              <w:rPr>
                <w:rFonts w:hint="eastAsia" w:ascii="仿宋_GB2312" w:hAnsi="宋体" w:eastAsia="仿宋_GB2312"/>
                <w:szCs w:val="21"/>
              </w:rPr>
              <w:t>其中：科技社团数</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个</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w:t>
            </w:r>
          </w:p>
        </w:tc>
        <w:tc>
          <w:tcPr>
            <w:tcW w:w="1935"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 w:hRule="atLeast"/>
          <w:jc w:val="center"/>
        </w:trPr>
        <w:tc>
          <w:tcPr>
            <w:tcW w:w="709" w:type="dxa"/>
            <w:vMerge w:val="continue"/>
            <w:shd w:val="clear" w:color="auto" w:fill="FDE9D9" w:themeFill="accent6" w:themeFillTint="33"/>
          </w:tcPr>
          <w:p>
            <w:pPr>
              <w:rPr>
                <w:rFonts w:ascii="仿宋_GB2312" w:hAnsi="宋体" w:eastAsia="仿宋_GB2312"/>
                <w:sz w:val="24"/>
              </w:rPr>
            </w:pPr>
          </w:p>
        </w:tc>
        <w:tc>
          <w:tcPr>
            <w:tcW w:w="611" w:type="dxa"/>
            <w:vMerge w:val="continue"/>
            <w:shd w:val="clear" w:color="auto" w:fill="FDE9D9" w:themeFill="accent6" w:themeFillTint="33"/>
          </w:tcPr>
          <w:p>
            <w:pPr>
              <w:rPr>
                <w:rFonts w:ascii="仿宋_GB2312" w:hAnsi="宋体" w:eastAsia="仿宋_GB2312"/>
                <w:sz w:val="24"/>
              </w:rPr>
            </w:pPr>
          </w:p>
        </w:tc>
        <w:tc>
          <w:tcPr>
            <w:tcW w:w="340" w:type="dxa"/>
            <w:vMerge w:val="continue"/>
            <w:shd w:val="clear" w:color="auto" w:fill="FDE9D9" w:themeFill="accent6" w:themeFillTint="33"/>
          </w:tcPr>
          <w:p>
            <w:pPr>
              <w:rPr>
                <w:rFonts w:ascii="仿宋_GB2312" w:hAnsi="宋体" w:eastAsia="仿宋_GB2312"/>
                <w:sz w:val="24"/>
              </w:rPr>
            </w:pPr>
          </w:p>
        </w:tc>
        <w:tc>
          <w:tcPr>
            <w:tcW w:w="693"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（2）</w:t>
            </w:r>
          </w:p>
        </w:tc>
        <w:tc>
          <w:tcPr>
            <w:tcW w:w="2251" w:type="dxa"/>
            <w:gridSpan w:val="2"/>
            <w:shd w:val="clear" w:color="auto" w:fill="FDE9D9" w:themeFill="accent6" w:themeFillTint="33"/>
            <w:vAlign w:val="center"/>
          </w:tcPr>
          <w:p>
            <w:pPr>
              <w:jc w:val="left"/>
              <w:rPr>
                <w:rFonts w:ascii="仿宋_GB2312" w:hAnsi="宋体" w:eastAsia="仿宋_GB2312"/>
                <w:szCs w:val="21"/>
              </w:rPr>
            </w:pPr>
            <w:r>
              <w:rPr>
                <w:rFonts w:hint="eastAsia" w:ascii="仿宋_GB2312" w:hAnsi="宋体" w:eastAsia="仿宋_GB2312"/>
                <w:szCs w:val="21"/>
              </w:rPr>
              <w:t>参与各社团的学生人数</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人</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3024</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1174</w:t>
            </w:r>
          </w:p>
        </w:tc>
        <w:tc>
          <w:tcPr>
            <w:tcW w:w="1935" w:type="dxa"/>
            <w:vMerge w:val="restart"/>
            <w:shd w:val="clear" w:color="auto" w:fill="FDE9D9" w:themeFill="accent6" w:themeFillTint="33"/>
          </w:tcPr>
          <w:p>
            <w:pPr>
              <w:rPr>
                <w:sz w:val="15"/>
                <w:szCs w:val="15"/>
              </w:rPr>
            </w:pPr>
            <w:r>
              <w:rPr>
                <w:rFonts w:hint="eastAsia" w:ascii="仿宋_GB2312" w:hAnsi="宋体" w:eastAsia="仿宋_GB2312"/>
                <w:sz w:val="15"/>
                <w:szCs w:val="15"/>
              </w:rPr>
              <w:t>轮滑协会178人、茶艺协会143人、电竞协会406人、动漫协会232人、演讲协会103人、凤凰文学社230人、鬼曳社团205人、街舞协会318人、拉丁舞协会199人、器乐协会284人、跆拳道协会216人、武术协会172人、滑板协会159人、足球协会90人、羽毛球协会85人、乒乓球协会70人、篮球协会118人、英语协会223人、书画协会185人、青年志愿者联合会450、人</w:t>
            </w:r>
          </w:p>
          <w:p>
            <w:pPr>
              <w:rPr>
                <w:rFonts w:ascii="仿宋_GB2312" w:hAnsi="宋体" w:eastAsia="仿宋_GB2312"/>
                <w:szCs w:val="21"/>
              </w:rPr>
            </w:pPr>
            <w:r>
              <w:rPr>
                <w:rFonts w:ascii="仿宋_GB2312" w:hAnsi="宋体" w:eastAsia="仿宋_GB2312"/>
                <w:sz w:val="15"/>
                <w:szCs w:val="15"/>
              </w:rPr>
              <w:t>计算机协会</w:t>
            </w:r>
            <w:r>
              <w:rPr>
                <w:rFonts w:hint="eastAsia" w:ascii="仿宋_GB2312" w:hAnsi="宋体" w:eastAsia="仿宋_GB2312"/>
                <w:sz w:val="15"/>
                <w:szCs w:val="15"/>
              </w:rPr>
              <w:t>132人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7" w:hRule="atLeast"/>
          <w:jc w:val="center"/>
        </w:trPr>
        <w:tc>
          <w:tcPr>
            <w:tcW w:w="709" w:type="dxa"/>
            <w:vMerge w:val="continue"/>
            <w:shd w:val="clear" w:color="auto" w:fill="FDE9D9" w:themeFill="accent6" w:themeFillTint="33"/>
          </w:tcPr>
          <w:p>
            <w:pPr>
              <w:jc w:val="center"/>
            </w:pPr>
          </w:p>
        </w:tc>
        <w:tc>
          <w:tcPr>
            <w:tcW w:w="611" w:type="dxa"/>
            <w:vMerge w:val="continue"/>
            <w:shd w:val="clear" w:color="auto" w:fill="FDE9D9" w:themeFill="accent6" w:themeFillTint="33"/>
          </w:tcPr>
          <w:p>
            <w:pPr>
              <w:jc w:val="center"/>
            </w:pPr>
          </w:p>
        </w:tc>
        <w:tc>
          <w:tcPr>
            <w:tcW w:w="340" w:type="dxa"/>
            <w:vMerge w:val="continue"/>
            <w:shd w:val="clear" w:color="auto" w:fill="FDE9D9" w:themeFill="accent6" w:themeFillTint="33"/>
          </w:tcPr>
          <w:p>
            <w:pPr>
              <w:jc w:val="center"/>
            </w:pPr>
          </w:p>
        </w:tc>
        <w:tc>
          <w:tcPr>
            <w:tcW w:w="693" w:type="dxa"/>
            <w:vMerge w:val="continue"/>
            <w:shd w:val="clear" w:color="auto" w:fill="FDE9D9" w:themeFill="accent6" w:themeFillTint="33"/>
            <w:vAlign w:val="center"/>
          </w:tcPr>
          <w:p>
            <w:pPr>
              <w:jc w:val="center"/>
              <w:rPr>
                <w:szCs w:val="21"/>
              </w:rPr>
            </w:pPr>
          </w:p>
        </w:tc>
        <w:tc>
          <w:tcPr>
            <w:tcW w:w="2251" w:type="dxa"/>
            <w:gridSpan w:val="2"/>
            <w:shd w:val="clear" w:color="auto" w:fill="FDE9D9" w:themeFill="accent6" w:themeFillTint="33"/>
            <w:vAlign w:val="center"/>
          </w:tcPr>
          <w:p>
            <w:pPr>
              <w:ind w:firstLine="210" w:firstLineChars="100"/>
              <w:jc w:val="left"/>
              <w:rPr>
                <w:rFonts w:ascii="仿宋_GB2312" w:hAnsi="宋体" w:eastAsia="仿宋_GB2312"/>
                <w:szCs w:val="21"/>
              </w:rPr>
            </w:pPr>
            <w:r>
              <w:rPr>
                <w:rFonts w:hint="eastAsia" w:ascii="仿宋_GB2312" w:hAnsi="宋体" w:eastAsia="仿宋_GB2312"/>
                <w:szCs w:val="21"/>
              </w:rPr>
              <w:t>其中：科技社团学生人数</w:t>
            </w:r>
          </w:p>
        </w:tc>
        <w:tc>
          <w:tcPr>
            <w:tcW w:w="716"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人</w:t>
            </w:r>
          </w:p>
        </w:tc>
        <w:tc>
          <w:tcPr>
            <w:tcW w:w="776"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58</w:t>
            </w:r>
          </w:p>
        </w:tc>
        <w:tc>
          <w:tcPr>
            <w:tcW w:w="901" w:type="dxa"/>
            <w:shd w:val="clear" w:color="auto" w:fill="FDE9D9" w:themeFill="accent6" w:themeFillTint="33"/>
            <w:vAlign w:val="center"/>
          </w:tcPr>
          <w:p>
            <w:pPr>
              <w:widowControl/>
              <w:jc w:val="center"/>
              <w:textAlignment w:val="center"/>
              <w:rPr>
                <w:rFonts w:ascii="楷体" w:hAnsi="楷体" w:eastAsia="楷体" w:cs="楷体"/>
                <w:szCs w:val="21"/>
              </w:rPr>
            </w:pPr>
            <w:r>
              <w:rPr>
                <w:rFonts w:hint="eastAsia" w:ascii="楷体" w:hAnsi="楷体" w:eastAsia="楷体" w:cs="楷体"/>
                <w:szCs w:val="21"/>
              </w:rPr>
              <w:t>74</w:t>
            </w:r>
          </w:p>
        </w:tc>
        <w:tc>
          <w:tcPr>
            <w:tcW w:w="1935" w:type="dxa"/>
            <w:vMerge w:val="continue"/>
            <w:shd w:val="clear" w:color="auto" w:fill="FDE9D9" w:themeFill="accent6" w:themeFillTint="33"/>
          </w:tcPr>
          <w:p>
            <w:pPr>
              <w:jc w:val="center"/>
              <w:rPr>
                <w:rFonts w:ascii="仿宋_GB2312" w:hAnsi="宋体" w:eastAsia="仿宋_GB2312"/>
                <w:sz w:val="24"/>
              </w:rPr>
            </w:pPr>
          </w:p>
        </w:tc>
      </w:tr>
    </w:tbl>
    <w:p>
      <w:r>
        <w:rPr>
          <w:rFonts w:hint="eastAsia" w:ascii="楷体" w:hAnsi="楷体" w:eastAsia="楷体" w:cs="隶书"/>
          <w:color w:val="000000"/>
          <w:szCs w:val="21"/>
        </w:rPr>
        <w:t xml:space="preserve">                                  数据来源：湖南都市职业学院团委、教务处、学生工作处</w:t>
      </w:r>
    </w:p>
    <w:p>
      <w:r>
        <w:rPr>
          <w:rFonts w:hint="eastAsia"/>
        </w:rPr>
        <w:t xml:space="preserve">  </w:t>
      </w:r>
    </w:p>
    <w:p>
      <w:pPr>
        <w:pStyle w:val="46"/>
        <w:spacing w:before="156" w:after="156"/>
      </w:pPr>
      <w:bookmarkStart w:id="24" w:name="_Toc9150"/>
      <w:r>
        <w:rPr>
          <w:rFonts w:hint="eastAsia"/>
        </w:rPr>
        <w:t>1.2  就业质量</w:t>
      </w:r>
      <w:bookmarkEnd w:id="24"/>
    </w:p>
    <w:p>
      <w:pPr>
        <w:pStyle w:val="48"/>
        <w:spacing w:before="78" w:after="78"/>
      </w:pPr>
      <w:bookmarkStart w:id="25" w:name="_Toc12223"/>
      <w:bookmarkStart w:id="26" w:name="_Toc4351"/>
      <w:bookmarkStart w:id="27" w:name="_Toc27708"/>
      <w:r>
        <w:rPr>
          <w:rFonts w:hint="eastAsia"/>
        </w:rPr>
        <w:t>1.2.1  毕业生就业率高于全省平均水平</w:t>
      </w:r>
      <w:bookmarkEnd w:id="25"/>
    </w:p>
    <w:p>
      <w:pPr>
        <w:pStyle w:val="50"/>
      </w:pPr>
      <w:r>
        <w:rPr>
          <w:rFonts w:hint="eastAsia"/>
        </w:rPr>
        <w:t>2019届毕业生就业率达89.44%，较上届有小幅下降，但仍比全省高职平均就业率高出3.3个百分点，毕业生有较强的就业竞争能力（见图1-3）。</w:t>
      </w:r>
    </w:p>
    <w:p>
      <w:pPr>
        <w:jc w:val="center"/>
        <w:rPr>
          <w:rFonts w:ascii="黑体" w:hAnsi="黑体" w:eastAsia="黑体" w:cs="仿宋_GB2312"/>
          <w:color w:val="9BBB59" w:themeColor="accent3"/>
          <w:szCs w:val="21"/>
        </w:rPr>
      </w:pPr>
      <w:r>
        <w:drawing>
          <wp:inline distT="0" distB="0" distL="114300" distR="114300">
            <wp:extent cx="5687060" cy="2528570"/>
            <wp:effectExtent l="19050" t="0" r="27940" b="508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eastAsia" w:ascii="黑体" w:hAnsi="黑体" w:eastAsia="黑体" w:cs="仿宋_GB2312"/>
          <w:color w:val="9BBB59" w:themeColor="accent3"/>
          <w:szCs w:val="21"/>
        </w:rPr>
        <w:t>■图1-3  2014—2018届本校毕业生就业率与湖南省高职院校毕业生就业率比较</w:t>
      </w:r>
    </w:p>
    <w:p>
      <w:pPr>
        <w:ind w:right="210"/>
        <w:jc w:val="right"/>
        <w:rPr>
          <w:rFonts w:ascii="楷体" w:hAnsi="楷体" w:eastAsia="楷体" w:cs="仿宋_GB2312"/>
          <w:szCs w:val="21"/>
        </w:rPr>
      </w:pPr>
      <w:r>
        <w:rPr>
          <w:rFonts w:hint="eastAsia" w:ascii="楷体" w:hAnsi="楷体" w:eastAsia="楷体" w:cs="仿宋_GB2312"/>
          <w:szCs w:val="21"/>
        </w:rPr>
        <w:t>数据来源：湖南省大中专院校毕业生就业办公信息系统</w:t>
      </w:r>
    </w:p>
    <w:p>
      <w:pPr>
        <w:pStyle w:val="48"/>
        <w:spacing w:before="78" w:after="78"/>
      </w:pPr>
    </w:p>
    <w:p>
      <w:pPr>
        <w:pStyle w:val="48"/>
        <w:spacing w:before="78" w:after="78"/>
        <w:rPr>
          <w:rFonts w:hint="eastAsia"/>
        </w:rPr>
      </w:pPr>
      <w:bookmarkStart w:id="28" w:name="_Toc3165"/>
    </w:p>
    <w:p>
      <w:pPr>
        <w:pStyle w:val="48"/>
        <w:spacing w:before="78" w:after="78"/>
      </w:pPr>
      <w:r>
        <w:rPr>
          <w:rFonts w:hint="eastAsia"/>
        </w:rPr>
        <w:t>1.2.2  毕业生对口就业率稳步增长</w:t>
      </w:r>
      <w:bookmarkEnd w:id="28"/>
      <w:r>
        <w:rPr>
          <w:rFonts w:hint="eastAsia"/>
        </w:rPr>
        <w:t xml:space="preserve">  </w:t>
      </w:r>
    </w:p>
    <w:p>
      <w:pPr>
        <w:pStyle w:val="50"/>
      </w:pPr>
      <w:r>
        <w:rPr>
          <w:rFonts w:hint="eastAsia"/>
        </w:rPr>
        <w:t>2015届、2016届、2017届、2018届、2019届毕业生对口就业率分别为67.28%、72.18%、75.03%、76.20%，76.15%，呈稳步增长趋势</w:t>
      </w:r>
      <w:bookmarkStart w:id="29" w:name="_Toc22174"/>
      <w:r>
        <w:rPr>
          <w:rFonts w:hint="eastAsia"/>
        </w:rPr>
        <w:t>（见图1-4）。</w:t>
      </w:r>
    </w:p>
    <w:p>
      <w:pPr>
        <w:keepNext w:val="0"/>
        <w:keepLines w:val="0"/>
        <w:pageBreakBefore w:val="0"/>
        <w:widowControl w:val="0"/>
        <w:kinsoku/>
        <w:wordWrap/>
        <w:overflowPunct/>
        <w:topLinePunct w:val="0"/>
        <w:autoSpaceDE/>
        <w:autoSpaceDN/>
        <w:bidi w:val="0"/>
        <w:adjustRightInd/>
        <w:snapToGrid/>
        <w:spacing w:beforeLines="100" w:line="240" w:lineRule="auto"/>
        <w:ind w:firstLine="420" w:firstLineChars="200"/>
        <w:textAlignment w:val="auto"/>
        <w:outlineLvl w:val="2"/>
        <w:rPr>
          <w:rFonts w:ascii="黑体" w:hAnsi="黑体" w:eastAsia="黑体" w:cs="仿宋_GB2312"/>
          <w:color w:val="00B050"/>
          <w:szCs w:val="21"/>
        </w:rPr>
      </w:pPr>
      <w:r>
        <w:rPr>
          <w:rFonts w:ascii="黑体" w:hAnsi="黑体" w:eastAsia="黑体" w:cs="仿宋_GB2312"/>
          <w:color w:val="00B050"/>
          <w:szCs w:val="21"/>
        </w:rPr>
        <w:drawing>
          <wp:inline distT="0" distB="0" distL="0" distR="0">
            <wp:extent cx="5067300" cy="2478405"/>
            <wp:effectExtent l="4445" t="4445" r="14605" b="12700"/>
            <wp:docPr id="3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50"/>
        <w:spacing w:line="240" w:lineRule="auto"/>
        <w:ind w:firstLine="420"/>
        <w:jc w:val="center"/>
        <w:rPr>
          <w:rFonts w:ascii="黑体" w:hAnsi="黑体" w:eastAsia="黑体"/>
          <w:color w:val="00B050"/>
          <w:sz w:val="21"/>
          <w:szCs w:val="21"/>
        </w:rPr>
      </w:pPr>
      <w:r>
        <w:rPr>
          <w:rFonts w:hint="eastAsia" w:ascii="黑体" w:hAnsi="黑体" w:eastAsia="黑体"/>
          <w:color w:val="00B050"/>
          <w:sz w:val="21"/>
          <w:szCs w:val="21"/>
        </w:rPr>
        <w:t>■图1-4  2015—2019届毕业生对口就业率</w:t>
      </w:r>
    </w:p>
    <w:p>
      <w:pPr>
        <w:spacing w:beforeLines="20"/>
        <w:ind w:firstLine="420" w:firstLineChars="200"/>
        <w:jc w:val="right"/>
        <w:rPr>
          <w:rFonts w:ascii="楷体" w:hAnsi="楷体" w:eastAsia="楷体" w:cs="仿宋_GB2312"/>
          <w:szCs w:val="21"/>
        </w:rPr>
      </w:pPr>
      <w:r>
        <w:rPr>
          <w:rFonts w:hint="eastAsia" w:ascii="楷体" w:hAnsi="楷体" w:eastAsia="楷体" w:cs="仿宋_GB2312"/>
          <w:szCs w:val="21"/>
        </w:rPr>
        <w:t>数据来源：湖南都市职业学院就业处</w:t>
      </w:r>
    </w:p>
    <w:p>
      <w:pPr>
        <w:pStyle w:val="48"/>
        <w:spacing w:before="78" w:after="78"/>
      </w:pPr>
      <w:bookmarkStart w:id="30" w:name="_Toc10451"/>
      <w:r>
        <w:rPr>
          <w:rFonts w:hint="eastAsia"/>
        </w:rPr>
        <w:t>1.2.3  就业起薪点</w:t>
      </w:r>
      <w:bookmarkEnd w:id="30"/>
    </w:p>
    <w:p>
      <w:pPr>
        <w:pStyle w:val="50"/>
      </w:pPr>
      <w:r>
        <w:rPr>
          <w:rFonts w:hint="eastAsia"/>
        </w:rPr>
        <w:t>2019 届毕业生就业起薪点为3424.09元，比2015届高出677.09元，比上届低 174.91元（见图1-5）。</w:t>
      </w:r>
    </w:p>
    <w:p>
      <w:pPr>
        <w:pStyle w:val="50"/>
        <w:spacing w:line="240" w:lineRule="auto"/>
        <w:rPr>
          <w:rFonts w:ascii="黑体" w:hAnsi="黑体" w:eastAsia="黑体"/>
          <w:color w:val="00B050"/>
          <w:szCs w:val="21"/>
        </w:rPr>
      </w:pPr>
      <w:r>
        <w:rPr>
          <w:rFonts w:ascii="黑体" w:hAnsi="黑体" w:eastAsia="黑体"/>
          <w:color w:val="00B050"/>
          <w:szCs w:val="21"/>
        </w:rPr>
        <w:drawing>
          <wp:inline distT="0" distB="0" distL="0" distR="0">
            <wp:extent cx="4978400" cy="2324735"/>
            <wp:effectExtent l="4445" t="4445" r="8255" b="1397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50"/>
        <w:spacing w:line="240" w:lineRule="auto"/>
        <w:ind w:firstLine="420"/>
        <w:jc w:val="center"/>
        <w:rPr>
          <w:sz w:val="21"/>
          <w:szCs w:val="21"/>
          <w:highlight w:val="yellow"/>
        </w:rPr>
      </w:pPr>
      <w:r>
        <w:rPr>
          <w:rFonts w:hint="eastAsia" w:ascii="黑体" w:hAnsi="黑体" w:eastAsia="黑体"/>
          <w:color w:val="00B050"/>
          <w:sz w:val="21"/>
          <w:szCs w:val="21"/>
        </w:rPr>
        <w:t>■图1-5  2015—2019届毕业生就业起薪点</w:t>
      </w:r>
    </w:p>
    <w:p>
      <w:pPr>
        <w:spacing w:beforeLines="20"/>
        <w:ind w:firstLine="420" w:firstLineChars="200"/>
        <w:jc w:val="right"/>
        <w:rPr>
          <w:rFonts w:ascii="楷体" w:hAnsi="楷体" w:eastAsia="楷体" w:cs="仿宋_GB2312"/>
          <w:szCs w:val="21"/>
        </w:rPr>
      </w:pPr>
      <w:r>
        <w:rPr>
          <w:rFonts w:hint="eastAsia" w:ascii="楷体" w:hAnsi="楷体" w:eastAsia="楷体" w:cs="仿宋_GB2312"/>
          <w:szCs w:val="21"/>
        </w:rPr>
        <w:t>数据来源：湖南都市职业学院就业处</w:t>
      </w:r>
    </w:p>
    <w:p>
      <w:pPr>
        <w:pStyle w:val="48"/>
        <w:spacing w:before="78" w:after="78"/>
        <w:ind w:firstLine="0" w:firstLineChars="0"/>
      </w:pPr>
      <w:bookmarkStart w:id="31" w:name="_Toc24556"/>
      <w:r>
        <w:rPr>
          <w:rFonts w:hint="eastAsia"/>
        </w:rPr>
        <w:t>1.2.4  就业满意度</w:t>
      </w:r>
      <w:bookmarkEnd w:id="31"/>
      <w:r>
        <w:rPr>
          <w:rFonts w:hint="eastAsia"/>
        </w:rPr>
        <w:t xml:space="preserve"> </w:t>
      </w:r>
      <w:bookmarkEnd w:id="29"/>
    </w:p>
    <w:p>
      <w:pPr>
        <w:pStyle w:val="50"/>
      </w:pPr>
      <w:r>
        <w:rPr>
          <w:rFonts w:hint="eastAsia"/>
        </w:rPr>
        <w:t>2019届毕业生母校满意度达93.56%，毕业生雇主满意度达98.02%（见图1-6），相比去年有所下降。</w:t>
      </w:r>
    </w:p>
    <w:p>
      <w:pPr>
        <w:ind w:left="2100" w:leftChars="200" w:hanging="1680" w:hangingChars="800"/>
        <w:rPr>
          <w:rFonts w:ascii="仿宋_GB2312" w:hAnsi="仿宋_GB2312" w:eastAsia="仿宋_GB2312" w:cs="仿宋_GB2312"/>
          <w:color w:val="000000"/>
          <w:sz w:val="28"/>
          <w:szCs w:val="28"/>
        </w:rPr>
      </w:pPr>
      <w:r>
        <w:drawing>
          <wp:inline distT="0" distB="0" distL="114300" distR="114300">
            <wp:extent cx="5677535" cy="3009900"/>
            <wp:effectExtent l="19050" t="0" r="18415" b="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eastAsia" w:ascii="黑体" w:hAnsi="黑体" w:eastAsia="黑体" w:cs="仿宋_GB2312"/>
          <w:color w:val="00B050"/>
          <w:szCs w:val="21"/>
        </w:rPr>
        <w:t>■图1-6  2017届、2018届和2019届毕业生母校满意度和雇主满意度</w:t>
      </w:r>
    </w:p>
    <w:p>
      <w:pPr>
        <w:ind w:left="2100" w:leftChars="1000" w:firstLine="3150" w:firstLineChars="1500"/>
        <w:rPr>
          <w:rFonts w:ascii="仿宋_GB2312" w:hAnsi="仿宋_GB2312" w:eastAsia="仿宋_GB2312" w:cs="仿宋_GB2312"/>
          <w:color w:val="000000"/>
          <w:sz w:val="28"/>
          <w:szCs w:val="28"/>
        </w:rPr>
      </w:pPr>
      <w:r>
        <w:rPr>
          <w:rFonts w:hint="eastAsia" w:ascii="楷体" w:hAnsi="楷体" w:eastAsia="楷体" w:cs="仿宋_GB2312"/>
          <w:szCs w:val="21"/>
        </w:rPr>
        <w:t>数据来源：湖南都市职业学院就业处</w:t>
      </w:r>
    </w:p>
    <w:p>
      <w:pPr>
        <w:pStyle w:val="48"/>
        <w:spacing w:before="78" w:after="78"/>
      </w:pPr>
      <w:bookmarkStart w:id="32" w:name="_Toc27364"/>
      <w:r>
        <w:rPr>
          <w:rFonts w:hint="eastAsia"/>
        </w:rPr>
        <w:t>1.3 成长成才</w:t>
      </w:r>
      <w:bookmarkEnd w:id="32"/>
    </w:p>
    <w:p>
      <w:pPr>
        <w:pStyle w:val="48"/>
        <w:spacing w:before="78" w:after="78"/>
      </w:pPr>
      <w:bookmarkStart w:id="33" w:name="_Toc30754"/>
      <w:r>
        <w:rPr>
          <w:rFonts w:hint="eastAsia"/>
        </w:rPr>
        <w:t>1.3.1 毕业生三年后月收入平稳增长</w:t>
      </w:r>
      <w:bookmarkEnd w:id="33"/>
      <w:r>
        <w:rPr>
          <w:rFonts w:hint="eastAsia"/>
        </w:rPr>
        <w:t xml:space="preserve"> </w:t>
      </w:r>
    </w:p>
    <w:bookmarkEnd w:id="26"/>
    <w:p>
      <w:pPr>
        <w:pStyle w:val="50"/>
        <w:rPr>
          <w:highlight w:val="yellow"/>
        </w:rPr>
      </w:pPr>
      <w:r>
        <w:rPr>
          <w:rFonts w:hint="eastAsia"/>
        </w:rPr>
        <w:t>毕业生平均月收入持续增长，毕业生毕业三年后月收入平稳增长。2015届毕业生三年后平均月收入为3915元，比起薪点平均增加1483元，2016届毕业生三年后平均月收入为4119元，比起薪点平均增加1507元（见图1-7）。</w:t>
      </w:r>
    </w:p>
    <w:bookmarkEnd w:id="27"/>
    <w:p>
      <w:pPr>
        <w:pStyle w:val="50"/>
        <w:spacing w:line="240" w:lineRule="auto"/>
        <w:rPr>
          <w:color w:val="FF0000"/>
        </w:rPr>
      </w:pPr>
      <w:bookmarkStart w:id="34" w:name="_Toc7021"/>
      <w:r>
        <w:rPr>
          <w:color w:val="FF0000"/>
        </w:rPr>
        <w:drawing>
          <wp:inline distT="0" distB="0" distL="0" distR="0">
            <wp:extent cx="4924425" cy="2743200"/>
            <wp:effectExtent l="19050" t="0" r="9525" b="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color w:val="FF0000"/>
        </w:rPr>
        <w:t xml:space="preserve"> </w:t>
      </w:r>
    </w:p>
    <w:p>
      <w:pPr>
        <w:ind w:left="210" w:hanging="210" w:hangingChars="100"/>
        <w:jc w:val="center"/>
        <w:rPr>
          <w:rFonts w:ascii="仿宋_GB2312" w:hAnsi="仿宋_GB2312" w:eastAsia="仿宋_GB2312" w:cs="仿宋_GB2312"/>
          <w:color w:val="FF0000"/>
          <w:sz w:val="28"/>
          <w:szCs w:val="28"/>
        </w:rPr>
      </w:pPr>
      <w:r>
        <w:rPr>
          <w:rFonts w:hint="eastAsia" w:ascii="黑体" w:hAnsi="黑体" w:eastAsia="黑体" w:cs="仿宋_GB2312"/>
          <w:color w:val="00B050"/>
          <w:szCs w:val="21"/>
        </w:rPr>
        <w:t>■图1-7  2015届、2016届毕业生毕业当年和毕业三年后月收入比较</w:t>
      </w:r>
    </w:p>
    <w:p>
      <w:pPr>
        <w:spacing w:beforeLines="20"/>
        <w:ind w:firstLine="420" w:firstLineChars="200"/>
        <w:jc w:val="right"/>
        <w:rPr>
          <w:rFonts w:ascii="楷体" w:hAnsi="楷体" w:eastAsia="楷体" w:cs="仿宋_GB2312"/>
          <w:szCs w:val="21"/>
        </w:rPr>
      </w:pPr>
      <w:r>
        <w:rPr>
          <w:rFonts w:hint="eastAsia" w:ascii="楷体" w:hAnsi="楷体" w:eastAsia="楷体" w:cs="仿宋_GB2312"/>
          <w:szCs w:val="21"/>
        </w:rPr>
        <w:t>数据来源：湖南都市职业学院就业处</w:t>
      </w:r>
    </w:p>
    <w:p>
      <w:pPr>
        <w:pStyle w:val="48"/>
        <w:spacing w:before="78" w:after="78"/>
      </w:pPr>
      <w:bookmarkStart w:id="35" w:name="_Toc18723"/>
      <w:r>
        <w:rPr>
          <w:rFonts w:hint="eastAsia"/>
        </w:rPr>
        <w:t>1.3.2  毕业生三年内职位晋升比例超六成</w:t>
      </w:r>
      <w:bookmarkEnd w:id="35"/>
    </w:p>
    <w:p>
      <w:pPr>
        <w:pStyle w:val="50"/>
      </w:pPr>
      <w:r>
        <w:rPr>
          <w:rFonts w:hint="eastAsia"/>
        </w:rPr>
        <w:t>通过抽样调查，2015届和2016届毕业生在毕业三年内职位晋升比例分别为64.59%和65.12%，毕业生整体呈现出较为强劲的职业发展态势和潜力，职业可持续发展能力和就业竞争力较强。</w:t>
      </w:r>
    </w:p>
    <w:p>
      <w:pPr>
        <w:pStyle w:val="48"/>
        <w:spacing w:before="78" w:after="78"/>
      </w:pPr>
      <w:bookmarkStart w:id="36" w:name="_Toc8799"/>
      <w:r>
        <w:rPr>
          <w:rFonts w:hint="eastAsia"/>
        </w:rPr>
        <w:t>1.3.3  职业保持基本稳定</w:t>
      </w:r>
      <w:bookmarkEnd w:id="36"/>
    </w:p>
    <w:bookmarkEnd w:id="34"/>
    <w:p>
      <w:pPr>
        <w:pStyle w:val="50"/>
      </w:pPr>
      <w:r>
        <w:rPr>
          <w:rFonts w:hint="eastAsia"/>
        </w:rPr>
        <w:t>据调查统计，2015和2016届毕业生毕业三年内平均雇主数分别为2.09和3.00，保持基本稳定。</w:t>
      </w:r>
    </w:p>
    <w:p>
      <w:pPr>
        <w:pStyle w:val="46"/>
        <w:spacing w:before="156" w:after="156"/>
        <w:rPr>
          <w:rFonts w:hint="eastAsia"/>
        </w:rPr>
      </w:pPr>
      <w:bookmarkStart w:id="37" w:name="_Toc12291"/>
      <w:bookmarkStart w:id="38" w:name="_Toc20126"/>
      <w:bookmarkStart w:id="39" w:name="_Toc18922"/>
    </w:p>
    <w:p>
      <w:pPr>
        <w:pStyle w:val="46"/>
        <w:spacing w:before="156" w:after="156"/>
      </w:pPr>
      <w:r>
        <w:rPr>
          <w:rFonts w:hint="eastAsia"/>
        </w:rPr>
        <w:t>1.4  创新创业</w:t>
      </w:r>
      <w:bookmarkEnd w:id="37"/>
      <w:bookmarkEnd w:id="38"/>
      <w:bookmarkEnd w:id="39"/>
    </w:p>
    <w:p>
      <w:pPr>
        <w:pStyle w:val="48"/>
        <w:spacing w:before="78" w:after="78"/>
      </w:pPr>
      <w:bookmarkStart w:id="40" w:name="_Toc3067"/>
      <w:bookmarkStart w:id="41" w:name="_Toc3445"/>
      <w:r>
        <w:rPr>
          <w:rFonts w:hint="eastAsia"/>
        </w:rPr>
        <w:t>1.4.1  学生创新创业能力逐步提升</w:t>
      </w:r>
      <w:bookmarkEnd w:id="40"/>
    </w:p>
    <w:p>
      <w:pPr>
        <w:pStyle w:val="50"/>
      </w:pPr>
      <w:r>
        <w:rPr>
          <w:rFonts w:hint="eastAsia"/>
        </w:rPr>
        <w:t>学校现有十大创新创业孵化基地，基地建设不断完善，至2019年，累计投入200万元，基地总面积达16800m</w:t>
      </w:r>
      <w:r>
        <w:rPr>
          <w:rFonts w:hint="eastAsia"/>
          <w:vertAlign w:val="superscript"/>
        </w:rPr>
        <w:t>2</w:t>
      </w:r>
      <w:r>
        <w:rPr>
          <w:rFonts w:hint="eastAsia"/>
        </w:rPr>
        <w:t>。2018年学生入驻创新创业孵化基地项目39个，2019年学生入驻创新孵化基地项目增加到44个，比去年多增加5个项目。2019年学生在创新创业大赛省赛获奖10项。</w:t>
      </w:r>
    </w:p>
    <w:p>
      <w:pPr>
        <w:pStyle w:val="48"/>
        <w:spacing w:before="78" w:after="78"/>
      </w:pPr>
      <w:bookmarkStart w:id="42" w:name="_Toc4036"/>
      <w:r>
        <w:rPr>
          <w:rFonts w:hint="eastAsia"/>
        </w:rPr>
        <w:t>1.4.2  学生创新创业意识普遍得到加强</w:t>
      </w:r>
      <w:bookmarkEnd w:id="42"/>
    </w:p>
    <w:p>
      <w:pPr>
        <w:pStyle w:val="50"/>
      </w:pPr>
      <w:r>
        <w:rPr>
          <w:rFonts w:hint="eastAsia"/>
        </w:rPr>
        <w:t>2019年学生创新创业必修课程到课率96.80%，选修创新创业课程的学生比率93.61%，学生入驻创新创业孵化基地项目数44，学生参与创新创业活动的比例42.57%。</w:t>
      </w:r>
    </w:p>
    <w:p>
      <w:pPr>
        <w:pStyle w:val="48"/>
        <w:spacing w:before="78" w:after="78"/>
      </w:pPr>
      <w:bookmarkStart w:id="43" w:name="_Toc2618"/>
      <w:r>
        <w:rPr>
          <w:rFonts w:hint="eastAsia"/>
        </w:rPr>
        <w:t>1.4.3 自主创业存活率超六成</w:t>
      </w:r>
      <w:bookmarkEnd w:id="43"/>
    </w:p>
    <w:p>
      <w:pPr>
        <w:pStyle w:val="50"/>
      </w:pPr>
      <w:r>
        <w:rPr>
          <w:rFonts w:hint="eastAsia"/>
        </w:rPr>
        <w:t>2015—2018届毕业生自主创业比例保持继续增长,2019有所回落。2015—2019届毕业生毕业当年创业率分别为1.1%、1.2%、1.6%、2.0%、0.25%（见表1-5）；2015、2016届毕业生创业三年存活率分别为64.59%和65.12%。</w:t>
      </w:r>
    </w:p>
    <w:p>
      <w:pPr>
        <w:spacing w:beforeLines="50" w:afterLines="50"/>
        <w:jc w:val="center"/>
        <w:rPr>
          <w:rFonts w:ascii="仿宋_GB2312" w:hAnsi="仿宋_GB2312" w:eastAsia="仿宋_GB2312" w:cs="仿宋_GB2312"/>
          <w:color w:val="000000"/>
          <w:sz w:val="28"/>
          <w:szCs w:val="28"/>
        </w:rPr>
      </w:pPr>
      <w:r>
        <w:rPr>
          <w:rFonts w:hint="eastAsia" w:ascii="黑体" w:hAnsi="黑体" w:eastAsia="黑体" w:cs="黑体"/>
          <w:b/>
          <w:bCs/>
          <w:color w:val="000000"/>
          <w:szCs w:val="21"/>
        </w:rPr>
        <w:t>表1-5 2015—2019届毕业生毕业当年创业率</w:t>
      </w:r>
    </w:p>
    <w:tbl>
      <w:tblPr>
        <w:tblStyle w:val="20"/>
        <w:tblW w:w="81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81" w:type="dxa"/>
            <w:shd w:val="clear" w:color="auto" w:fill="D99594" w:themeFill="accent2" w:themeFillTint="99"/>
            <w:vAlign w:val="center"/>
          </w:tcPr>
          <w:p>
            <w:pPr>
              <w:widowControl/>
              <w:jc w:val="center"/>
              <w:textAlignment w:val="center"/>
              <w:rPr>
                <w:rFonts w:ascii="黑体" w:hAnsi="黑体" w:eastAsia="黑体" w:cs="黑体"/>
                <w:b/>
                <w:szCs w:val="21"/>
              </w:rPr>
            </w:pPr>
            <w:r>
              <w:rPr>
                <w:rFonts w:hint="eastAsia" w:ascii="黑体" w:hAnsi="黑体" w:eastAsia="黑体" w:cs="黑体"/>
                <w:color w:val="000000"/>
                <w:kern w:val="0"/>
                <w:szCs w:val="21"/>
              </w:rPr>
              <w:t>届别</w:t>
            </w:r>
          </w:p>
        </w:tc>
        <w:tc>
          <w:tcPr>
            <w:tcW w:w="1134" w:type="dxa"/>
            <w:shd w:val="clear" w:color="auto" w:fill="D99594" w:themeFill="accent2" w:themeFillTint="99"/>
            <w:vAlign w:val="center"/>
          </w:tcPr>
          <w:p>
            <w:pPr>
              <w:widowControl/>
              <w:jc w:val="center"/>
              <w:textAlignment w:val="center"/>
              <w:rPr>
                <w:rFonts w:ascii="黑体" w:hAnsi="黑体" w:eastAsia="黑体" w:cs="黑体"/>
                <w:b/>
                <w:szCs w:val="21"/>
              </w:rPr>
            </w:pPr>
            <w:r>
              <w:rPr>
                <w:rFonts w:hint="eastAsia" w:ascii="黑体" w:hAnsi="黑体" w:eastAsia="黑体" w:cs="黑体"/>
                <w:color w:val="000000"/>
                <w:kern w:val="0"/>
                <w:szCs w:val="21"/>
              </w:rPr>
              <w:t>2015届</w:t>
            </w:r>
          </w:p>
        </w:tc>
        <w:tc>
          <w:tcPr>
            <w:tcW w:w="1134" w:type="dxa"/>
            <w:shd w:val="clear" w:color="auto" w:fill="D99594" w:themeFill="accent2" w:themeFillTint="99"/>
            <w:vAlign w:val="center"/>
          </w:tcPr>
          <w:p>
            <w:pPr>
              <w:widowControl/>
              <w:jc w:val="center"/>
              <w:textAlignment w:val="center"/>
              <w:rPr>
                <w:rFonts w:ascii="黑体" w:hAnsi="黑体" w:eastAsia="黑体" w:cs="黑体"/>
                <w:b/>
                <w:szCs w:val="21"/>
              </w:rPr>
            </w:pPr>
            <w:r>
              <w:rPr>
                <w:rFonts w:hint="eastAsia" w:ascii="黑体" w:hAnsi="黑体" w:eastAsia="黑体" w:cs="黑体"/>
                <w:color w:val="000000"/>
                <w:kern w:val="0"/>
                <w:szCs w:val="21"/>
              </w:rPr>
              <w:t>2016届</w:t>
            </w:r>
          </w:p>
        </w:tc>
        <w:tc>
          <w:tcPr>
            <w:tcW w:w="1134" w:type="dxa"/>
            <w:shd w:val="clear" w:color="auto" w:fill="D99594" w:themeFill="accent2" w:themeFillTint="99"/>
            <w:vAlign w:val="center"/>
          </w:tcPr>
          <w:p>
            <w:pPr>
              <w:widowControl/>
              <w:jc w:val="center"/>
              <w:textAlignment w:val="center"/>
              <w:rPr>
                <w:rFonts w:ascii="黑体" w:hAnsi="黑体" w:eastAsia="黑体" w:cs="黑体"/>
                <w:b/>
                <w:szCs w:val="21"/>
              </w:rPr>
            </w:pPr>
            <w:r>
              <w:rPr>
                <w:rFonts w:hint="eastAsia" w:ascii="黑体" w:hAnsi="黑体" w:eastAsia="黑体" w:cs="黑体"/>
                <w:color w:val="000000"/>
                <w:kern w:val="0"/>
                <w:szCs w:val="21"/>
              </w:rPr>
              <w:t>2017届</w:t>
            </w:r>
          </w:p>
        </w:tc>
        <w:tc>
          <w:tcPr>
            <w:tcW w:w="1134" w:type="dxa"/>
            <w:shd w:val="clear" w:color="auto" w:fill="D99594" w:themeFill="accent2" w:themeFillTint="99"/>
            <w:vAlign w:val="center"/>
          </w:tcPr>
          <w:p>
            <w:pPr>
              <w:widowControl/>
              <w:jc w:val="center"/>
              <w:textAlignment w:val="center"/>
              <w:rPr>
                <w:rFonts w:ascii="黑体" w:hAnsi="黑体" w:eastAsia="黑体" w:cs="黑体"/>
                <w:b/>
                <w:szCs w:val="21"/>
              </w:rPr>
            </w:pPr>
            <w:r>
              <w:rPr>
                <w:rFonts w:hint="eastAsia" w:ascii="黑体" w:hAnsi="黑体" w:eastAsia="黑体" w:cs="黑体"/>
                <w:color w:val="000000"/>
                <w:kern w:val="0"/>
                <w:szCs w:val="21"/>
              </w:rPr>
              <w:t>2018届</w:t>
            </w:r>
          </w:p>
        </w:tc>
        <w:tc>
          <w:tcPr>
            <w:tcW w:w="1134" w:type="dxa"/>
            <w:shd w:val="clear" w:color="auto" w:fill="D99594" w:themeFill="accent2" w:themeFillTint="99"/>
            <w:vAlign w:val="center"/>
          </w:tcPr>
          <w:p>
            <w:pPr>
              <w:widowControl/>
              <w:jc w:val="center"/>
              <w:textAlignment w:val="center"/>
              <w:rPr>
                <w:rFonts w:ascii="黑体" w:hAnsi="黑体" w:eastAsia="黑体" w:cs="黑体"/>
                <w:b/>
                <w:szCs w:val="21"/>
              </w:rPr>
            </w:pPr>
            <w:r>
              <w:rPr>
                <w:rFonts w:hint="eastAsia" w:ascii="黑体" w:hAnsi="黑体" w:eastAsia="黑体" w:cs="黑体"/>
                <w:color w:val="000000"/>
                <w:kern w:val="0"/>
                <w:szCs w:val="21"/>
              </w:rPr>
              <w:t>2019届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2481"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创业率</w:t>
            </w:r>
          </w:p>
        </w:tc>
        <w:tc>
          <w:tcPr>
            <w:tcW w:w="113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1.10%</w:t>
            </w:r>
          </w:p>
        </w:tc>
        <w:tc>
          <w:tcPr>
            <w:tcW w:w="113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1.20%</w:t>
            </w:r>
          </w:p>
        </w:tc>
        <w:tc>
          <w:tcPr>
            <w:tcW w:w="113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1.60%</w:t>
            </w:r>
          </w:p>
        </w:tc>
        <w:tc>
          <w:tcPr>
            <w:tcW w:w="113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1134"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0.25%</w:t>
            </w:r>
          </w:p>
        </w:tc>
      </w:tr>
    </w:tbl>
    <w:p>
      <w:pPr>
        <w:pStyle w:val="50"/>
        <w:ind w:firstLine="420"/>
        <w:jc w:val="right"/>
        <w:rPr>
          <w:rFonts w:ascii="楷体" w:hAnsi="楷体" w:eastAsia="楷体" w:cs="楷体"/>
          <w:sz w:val="21"/>
          <w:szCs w:val="21"/>
        </w:rPr>
      </w:pPr>
      <w:r>
        <w:rPr>
          <w:rFonts w:hint="eastAsia" w:ascii="楷体" w:hAnsi="楷体" w:eastAsia="楷体" w:cs="楷体"/>
          <w:sz w:val="21"/>
          <w:szCs w:val="21"/>
        </w:rPr>
        <w:t>数据来源：湖南都市职业学院就业处</w:t>
      </w:r>
    </w:p>
    <w:bookmarkEnd w:id="41"/>
    <w:p>
      <w:pPr>
        <w:pStyle w:val="46"/>
        <w:spacing w:before="156" w:after="156"/>
      </w:pPr>
      <w:bookmarkStart w:id="44" w:name="_Toc13076"/>
      <w:bookmarkStart w:id="45" w:name="_Toc13102"/>
      <w:bookmarkStart w:id="46" w:name="_Toc7445"/>
      <w:r>
        <w:rPr>
          <w:rFonts w:hint="eastAsia"/>
        </w:rPr>
        <w:t>1.5  计分卡</w:t>
      </w:r>
      <w:bookmarkEnd w:id="44"/>
      <w:bookmarkEnd w:id="45"/>
      <w:bookmarkEnd w:id="46"/>
    </w:p>
    <w:p>
      <w:pPr>
        <w:pStyle w:val="50"/>
        <w:rPr>
          <w:rFonts w:ascii="楷体" w:hAnsi="楷体" w:eastAsia="楷体" w:cs="隶书"/>
          <w:color w:val="000000"/>
          <w:szCs w:val="21"/>
        </w:rPr>
      </w:pPr>
      <w:r>
        <w:rPr>
          <w:rFonts w:hint="eastAsia"/>
        </w:rPr>
        <w:t>“计分卡”各项指标中，与 2018 年相比，毕业三年职位晋升比例、理工农医类专业相关度有所增加（见表 1-6）。</w:t>
      </w:r>
      <w:r>
        <w:rPr>
          <w:rFonts w:hint="eastAsia" w:ascii="楷体" w:hAnsi="楷体" w:eastAsia="楷体" w:cs="隶书"/>
          <w:color w:val="000000"/>
          <w:szCs w:val="21"/>
        </w:rPr>
        <w:tab/>
      </w:r>
    </w:p>
    <w:p>
      <w:pPr>
        <w:spacing w:afterLines="50" w:line="560" w:lineRule="exact"/>
        <w:ind w:firstLine="422" w:firstLineChars="200"/>
        <w:jc w:val="center"/>
        <w:rPr>
          <w:rFonts w:hint="eastAsia" w:ascii="黑体" w:hAnsi="黑体" w:eastAsia="黑体" w:cs="黑体"/>
          <w:b/>
          <w:bCs/>
          <w:color w:val="000000"/>
          <w:szCs w:val="21"/>
        </w:rPr>
      </w:pPr>
    </w:p>
    <w:p>
      <w:pPr>
        <w:spacing w:afterLines="50" w:line="560" w:lineRule="exact"/>
        <w:ind w:firstLine="422" w:firstLineChars="200"/>
        <w:jc w:val="center"/>
        <w:rPr>
          <w:rFonts w:ascii="黑体" w:hAnsi="黑体" w:eastAsia="黑体" w:cs="黑体"/>
          <w:b/>
          <w:bCs/>
          <w:color w:val="000000"/>
          <w:szCs w:val="21"/>
        </w:rPr>
      </w:pPr>
      <w:r>
        <w:rPr>
          <w:rFonts w:hint="eastAsia" w:ascii="黑体" w:hAnsi="黑体" w:eastAsia="黑体" w:cs="黑体"/>
          <w:b/>
          <w:bCs/>
          <w:color w:val="000000"/>
          <w:szCs w:val="21"/>
        </w:rPr>
        <w:t>表1-6 计分卡</w:t>
      </w:r>
    </w:p>
    <w:tbl>
      <w:tblPr>
        <w:tblStyle w:val="20"/>
        <w:tblW w:w="8853" w:type="dxa"/>
        <w:jc w:val="center"/>
        <w:tblInd w:w="0" w:type="dxa"/>
        <w:shd w:val="clear" w:color="auto" w:fill="F2DBDB" w:themeFill="accent2" w:themeFillTint="33"/>
        <w:tblLayout w:type="fixed"/>
        <w:tblCellMar>
          <w:top w:w="0" w:type="dxa"/>
          <w:left w:w="108" w:type="dxa"/>
          <w:bottom w:w="0" w:type="dxa"/>
          <w:right w:w="108" w:type="dxa"/>
        </w:tblCellMar>
      </w:tblPr>
      <w:tblGrid>
        <w:gridCol w:w="921"/>
        <w:gridCol w:w="767"/>
        <w:gridCol w:w="473"/>
        <w:gridCol w:w="3506"/>
        <w:gridCol w:w="854"/>
        <w:gridCol w:w="1140"/>
        <w:gridCol w:w="1192"/>
      </w:tblGrid>
      <w:tr>
        <w:tblPrEx>
          <w:tblLayout w:type="fixed"/>
          <w:tblCellMar>
            <w:top w:w="0" w:type="dxa"/>
            <w:left w:w="108" w:type="dxa"/>
            <w:bottom w:w="0" w:type="dxa"/>
            <w:right w:w="108" w:type="dxa"/>
          </w:tblCellMar>
        </w:tblPrEx>
        <w:trPr>
          <w:trHeight w:val="707" w:hRule="atLeast"/>
          <w:jc w:val="center"/>
        </w:trPr>
        <w:tc>
          <w:tcPr>
            <w:tcW w:w="921" w:type="dxa"/>
            <w:tcBorders>
              <w:top w:val="single" w:color="auto" w:sz="4" w:space="0"/>
              <w:left w:val="single" w:color="auto" w:sz="4" w:space="0"/>
              <w:bottom w:val="single" w:color="auto" w:sz="4" w:space="0"/>
            </w:tcBorders>
            <w:shd w:val="clear" w:color="auto" w:fill="D99594" w:themeFill="accent2" w:themeFillTint="99"/>
          </w:tcPr>
          <w:p>
            <w:pPr>
              <w:widowControl/>
              <w:snapToGrid w:val="0"/>
              <w:spacing w:line="312" w:lineRule="auto"/>
              <w:jc w:val="center"/>
              <w:rPr>
                <w:rFonts w:ascii="仿宋_GB2312" w:hAnsi="Cambria" w:eastAsia="仿宋_GB2312" w:cs="宋体"/>
                <w:b/>
                <w:bCs/>
                <w:kern w:val="0"/>
                <w:sz w:val="24"/>
              </w:rPr>
            </w:pPr>
            <w:r>
              <w:rPr>
                <w:rFonts w:hint="eastAsia" w:ascii="仿宋_GB2312" w:hAnsi="Cambria" w:eastAsia="仿宋_GB2312" w:cs="宋体"/>
                <w:b/>
                <w:bCs/>
                <w:kern w:val="0"/>
                <w:sz w:val="24"/>
              </w:rPr>
              <w:t>院校代码</w:t>
            </w:r>
          </w:p>
        </w:tc>
        <w:tc>
          <w:tcPr>
            <w:tcW w:w="767" w:type="dxa"/>
            <w:tcBorders>
              <w:top w:val="single" w:color="auto" w:sz="4" w:space="0"/>
              <w:left w:val="single" w:color="auto" w:sz="4" w:space="0"/>
              <w:bottom w:val="single" w:color="auto" w:sz="4" w:space="0"/>
            </w:tcBorders>
            <w:shd w:val="clear" w:color="auto" w:fill="D99594" w:themeFill="accent2" w:themeFillTint="99"/>
            <w:vAlign w:val="center"/>
          </w:tcPr>
          <w:p>
            <w:pPr>
              <w:widowControl/>
              <w:snapToGrid w:val="0"/>
              <w:spacing w:line="312" w:lineRule="auto"/>
              <w:jc w:val="center"/>
              <w:rPr>
                <w:rFonts w:ascii="仿宋_GB2312" w:hAnsi="Cambria" w:eastAsia="仿宋_GB2312" w:cs="宋体"/>
                <w:b/>
                <w:bCs/>
                <w:kern w:val="0"/>
                <w:sz w:val="24"/>
              </w:rPr>
            </w:pPr>
            <w:r>
              <w:rPr>
                <w:rFonts w:hint="eastAsia" w:ascii="仿宋_GB2312" w:hAnsi="Cambria" w:eastAsia="仿宋_GB2312" w:cs="宋体"/>
                <w:b/>
                <w:bCs/>
                <w:kern w:val="0"/>
                <w:sz w:val="24"/>
              </w:rPr>
              <w:t>院校名称</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99594" w:themeFill="accent2" w:themeFillTint="99"/>
            <w:noWrap/>
            <w:vAlign w:val="center"/>
          </w:tcPr>
          <w:p>
            <w:pPr>
              <w:widowControl/>
              <w:snapToGrid w:val="0"/>
              <w:spacing w:line="312" w:lineRule="auto"/>
              <w:jc w:val="center"/>
              <w:rPr>
                <w:rFonts w:ascii="仿宋_GB2312" w:hAnsi="Cambria" w:eastAsia="仿宋_GB2312" w:cs="宋体"/>
                <w:b/>
                <w:bCs/>
                <w:kern w:val="0"/>
                <w:sz w:val="24"/>
              </w:rPr>
            </w:pPr>
            <w:r>
              <w:rPr>
                <w:rFonts w:hint="eastAsia" w:ascii="仿宋_GB2312" w:hAnsi="Cambria" w:eastAsia="仿宋_GB2312" w:cs="宋体"/>
                <w:b/>
                <w:bCs/>
                <w:kern w:val="0"/>
                <w:sz w:val="24"/>
              </w:rPr>
              <w:t>指标</w:t>
            </w:r>
          </w:p>
        </w:tc>
        <w:tc>
          <w:tcPr>
            <w:tcW w:w="854"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widowControl/>
              <w:snapToGrid w:val="0"/>
              <w:spacing w:line="312" w:lineRule="auto"/>
              <w:jc w:val="center"/>
              <w:rPr>
                <w:rFonts w:ascii="仿宋_GB2312" w:hAnsi="Cambria" w:eastAsia="仿宋_GB2312" w:cs="宋体"/>
                <w:b/>
                <w:bCs/>
                <w:kern w:val="0"/>
                <w:sz w:val="24"/>
              </w:rPr>
            </w:pPr>
            <w:r>
              <w:rPr>
                <w:rFonts w:hint="eastAsia" w:ascii="仿宋_GB2312" w:hAnsi="Cambria" w:eastAsia="仿宋_GB2312" w:cs="宋体"/>
                <w:b/>
                <w:bCs/>
                <w:kern w:val="0"/>
                <w:sz w:val="24"/>
              </w:rPr>
              <w:t>单位</w:t>
            </w:r>
          </w:p>
        </w:tc>
        <w:tc>
          <w:tcPr>
            <w:tcW w:w="1140"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widowControl/>
              <w:snapToGrid w:val="0"/>
              <w:spacing w:line="312" w:lineRule="auto"/>
              <w:jc w:val="center"/>
              <w:rPr>
                <w:rFonts w:ascii="仿宋_GB2312" w:hAnsi="Cambria" w:eastAsia="仿宋_GB2312" w:cs="宋体"/>
                <w:b/>
                <w:bCs/>
                <w:kern w:val="0"/>
                <w:sz w:val="24"/>
              </w:rPr>
            </w:pPr>
            <w:r>
              <w:rPr>
                <w:rFonts w:hint="eastAsia" w:ascii="仿宋_GB2312" w:hAnsi="Cambria" w:eastAsia="仿宋_GB2312" w:cs="宋体"/>
                <w:b/>
                <w:bCs/>
                <w:kern w:val="0"/>
                <w:sz w:val="24"/>
              </w:rPr>
              <w:t>2018年</w:t>
            </w:r>
          </w:p>
        </w:tc>
        <w:tc>
          <w:tcPr>
            <w:tcW w:w="1192"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widowControl/>
              <w:snapToGrid w:val="0"/>
              <w:spacing w:line="312" w:lineRule="auto"/>
              <w:jc w:val="center"/>
              <w:rPr>
                <w:rFonts w:ascii="仿宋_GB2312" w:hAnsi="Cambria" w:eastAsia="仿宋_GB2312" w:cs="宋体"/>
                <w:b/>
                <w:bCs/>
                <w:kern w:val="0"/>
                <w:sz w:val="24"/>
              </w:rPr>
            </w:pPr>
            <w:r>
              <w:rPr>
                <w:rFonts w:hint="eastAsia" w:ascii="仿宋_GB2312" w:hAnsi="Cambria" w:eastAsia="仿宋_GB2312" w:cs="宋体"/>
                <w:b/>
                <w:bCs/>
                <w:kern w:val="0"/>
                <w:sz w:val="24"/>
              </w:rPr>
              <w:t>2019年</w:t>
            </w:r>
          </w:p>
        </w:tc>
      </w:tr>
      <w:tr>
        <w:tblPrEx>
          <w:tblLayout w:type="fixed"/>
          <w:tblCellMar>
            <w:top w:w="0" w:type="dxa"/>
            <w:left w:w="108" w:type="dxa"/>
            <w:bottom w:w="0" w:type="dxa"/>
            <w:right w:w="108" w:type="dxa"/>
          </w:tblCellMar>
        </w:tblPrEx>
        <w:trPr>
          <w:trHeight w:val="285" w:hRule="atLeast"/>
          <w:jc w:val="center"/>
        </w:trPr>
        <w:tc>
          <w:tcPr>
            <w:tcW w:w="921" w:type="dxa"/>
            <w:vMerge w:val="restart"/>
            <w:tcBorders>
              <w:top w:val="single" w:color="auto" w:sz="4" w:space="0"/>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p>
            <w:pPr>
              <w:widowControl/>
              <w:snapToGrid w:val="0"/>
              <w:spacing w:line="312" w:lineRule="auto"/>
              <w:jc w:val="center"/>
              <w:rPr>
                <w:rFonts w:ascii="仿宋_GB2312" w:hAnsi="Cambria" w:eastAsia="仿宋_GB2312" w:cs="宋体"/>
                <w:kern w:val="0"/>
                <w:sz w:val="24"/>
              </w:rPr>
            </w:pPr>
          </w:p>
          <w:p>
            <w:pPr>
              <w:widowControl/>
              <w:snapToGrid w:val="0"/>
              <w:spacing w:line="312" w:lineRule="auto"/>
              <w:jc w:val="center"/>
              <w:rPr>
                <w:rFonts w:ascii="仿宋_GB2312" w:hAnsi="Cambria" w:eastAsia="仿宋_GB2312" w:cs="宋体"/>
                <w:kern w:val="0"/>
                <w:sz w:val="24"/>
              </w:rPr>
            </w:pPr>
          </w:p>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14121</w:t>
            </w:r>
          </w:p>
        </w:tc>
        <w:tc>
          <w:tcPr>
            <w:tcW w:w="767" w:type="dxa"/>
            <w:vMerge w:val="restart"/>
            <w:tcBorders>
              <w:top w:val="single" w:color="auto" w:sz="4" w:space="0"/>
              <w:left w:val="single" w:color="auto" w:sz="4" w:space="0"/>
            </w:tcBorders>
            <w:shd w:val="clear" w:color="auto" w:fill="F2DBDB" w:themeFill="accent2" w:themeFillTint="33"/>
          </w:tcPr>
          <w:p>
            <w:pPr>
              <w:widowControl/>
              <w:snapToGrid w:val="0"/>
              <w:spacing w:line="312" w:lineRule="auto"/>
              <w:rPr>
                <w:rFonts w:ascii="仿宋_GB2312" w:hAnsi="Cambria" w:eastAsia="仿宋_GB2312" w:cs="宋体"/>
                <w:kern w:val="0"/>
                <w:sz w:val="24"/>
              </w:rPr>
            </w:pPr>
          </w:p>
          <w:p>
            <w:pPr>
              <w:widowControl/>
              <w:snapToGrid w:val="0"/>
              <w:spacing w:line="312" w:lineRule="auto"/>
              <w:rPr>
                <w:rFonts w:ascii="仿宋" w:hAnsi="仿宋" w:eastAsia="仿宋" w:cs="宋体"/>
                <w:kern w:val="0"/>
                <w:sz w:val="24"/>
              </w:rPr>
            </w:pPr>
          </w:p>
          <w:p>
            <w:pPr>
              <w:widowControl/>
              <w:snapToGrid w:val="0"/>
              <w:spacing w:line="312" w:lineRule="auto"/>
              <w:rPr>
                <w:rFonts w:ascii="仿宋" w:hAnsi="仿宋" w:eastAsia="仿宋" w:cs="宋体"/>
                <w:kern w:val="0"/>
                <w:sz w:val="24"/>
              </w:rPr>
            </w:pPr>
            <w:r>
              <w:rPr>
                <w:rFonts w:ascii="仿宋" w:hAnsi="仿宋" w:eastAsia="仿宋" w:cs="宋体"/>
                <w:kern w:val="0"/>
                <w:sz w:val="24"/>
              </w:rPr>
              <w:t>湖南都市职业学院</w:t>
            </w: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1</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 xml:space="preserve">就业率 </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89.78</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89.44</w:t>
            </w:r>
          </w:p>
        </w:tc>
      </w:tr>
      <w:tr>
        <w:tblPrEx>
          <w:tblLayout w:type="fixed"/>
          <w:tblCellMar>
            <w:top w:w="0" w:type="dxa"/>
            <w:left w:w="108" w:type="dxa"/>
            <w:bottom w:w="0" w:type="dxa"/>
            <w:right w:w="108" w:type="dxa"/>
          </w:tblCellMar>
        </w:tblPrEx>
        <w:trPr>
          <w:trHeight w:val="285" w:hRule="atLeast"/>
          <w:jc w:val="center"/>
        </w:trPr>
        <w:tc>
          <w:tcPr>
            <w:tcW w:w="921" w:type="dxa"/>
            <w:vMerge w:val="continue"/>
            <w:tcBorders>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767" w:type="dxa"/>
            <w:vMerge w:val="continue"/>
            <w:tcBorders>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2</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月收入</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元</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3599.00</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3424.09</w:t>
            </w:r>
          </w:p>
        </w:tc>
      </w:tr>
      <w:tr>
        <w:tblPrEx>
          <w:tblLayout w:type="fixed"/>
          <w:tblCellMar>
            <w:top w:w="0" w:type="dxa"/>
            <w:left w:w="108" w:type="dxa"/>
            <w:bottom w:w="0" w:type="dxa"/>
            <w:right w:w="108" w:type="dxa"/>
          </w:tblCellMar>
        </w:tblPrEx>
        <w:trPr>
          <w:trHeight w:val="285" w:hRule="atLeast"/>
          <w:jc w:val="center"/>
        </w:trPr>
        <w:tc>
          <w:tcPr>
            <w:tcW w:w="921" w:type="dxa"/>
            <w:vMerge w:val="continue"/>
            <w:tcBorders>
              <w:left w:val="single" w:color="auto" w:sz="4" w:space="0"/>
            </w:tcBorders>
            <w:shd w:val="clear" w:color="auto" w:fill="F2DBDB" w:themeFill="accent2" w:themeFillTint="33"/>
          </w:tcPr>
          <w:p>
            <w:pPr>
              <w:widowControl/>
              <w:snapToGrid w:val="0"/>
              <w:spacing w:line="312" w:lineRule="auto"/>
              <w:ind w:firstLine="120" w:firstLineChars="50"/>
              <w:rPr>
                <w:rFonts w:ascii="仿宋_GB2312" w:hAnsi="Cambria" w:eastAsia="仿宋_GB2312" w:cs="宋体"/>
                <w:kern w:val="0"/>
                <w:sz w:val="24"/>
              </w:rPr>
            </w:pPr>
          </w:p>
        </w:tc>
        <w:tc>
          <w:tcPr>
            <w:tcW w:w="767" w:type="dxa"/>
            <w:vMerge w:val="continue"/>
            <w:tcBorders>
              <w:left w:val="single" w:color="auto" w:sz="4" w:space="0"/>
            </w:tcBorders>
            <w:shd w:val="clear" w:color="auto" w:fill="F2DBDB" w:themeFill="accent2" w:themeFillTint="33"/>
          </w:tcPr>
          <w:p>
            <w:pPr>
              <w:widowControl/>
              <w:snapToGrid w:val="0"/>
              <w:spacing w:line="312" w:lineRule="auto"/>
              <w:ind w:firstLine="120" w:firstLineChars="50"/>
              <w:rPr>
                <w:rFonts w:ascii="仿宋_GB2312" w:hAnsi="Cambria"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3</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理工农医类专业相关度</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84</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87</w:t>
            </w:r>
          </w:p>
        </w:tc>
      </w:tr>
      <w:tr>
        <w:tblPrEx>
          <w:tblLayout w:type="fixed"/>
          <w:tblCellMar>
            <w:top w:w="0" w:type="dxa"/>
            <w:left w:w="108" w:type="dxa"/>
            <w:bottom w:w="0" w:type="dxa"/>
            <w:right w:w="108" w:type="dxa"/>
          </w:tblCellMar>
        </w:tblPrEx>
        <w:trPr>
          <w:trHeight w:val="285" w:hRule="atLeast"/>
          <w:jc w:val="center"/>
        </w:trPr>
        <w:tc>
          <w:tcPr>
            <w:tcW w:w="921" w:type="dxa"/>
            <w:vMerge w:val="continue"/>
            <w:tcBorders>
              <w:left w:val="single" w:color="auto" w:sz="4" w:space="0"/>
            </w:tcBorders>
            <w:shd w:val="clear" w:color="auto" w:fill="F2DBDB" w:themeFill="accent2" w:themeFillTint="33"/>
          </w:tcPr>
          <w:p>
            <w:pPr>
              <w:widowControl/>
              <w:snapToGrid w:val="0"/>
              <w:spacing w:line="312" w:lineRule="auto"/>
              <w:ind w:firstLine="120" w:firstLineChars="50"/>
              <w:rPr>
                <w:rFonts w:ascii="仿宋_GB2312" w:hAnsi="Cambria" w:eastAsia="仿宋_GB2312" w:cs="宋体"/>
                <w:kern w:val="0"/>
                <w:sz w:val="24"/>
              </w:rPr>
            </w:pPr>
          </w:p>
        </w:tc>
        <w:tc>
          <w:tcPr>
            <w:tcW w:w="767" w:type="dxa"/>
            <w:vMerge w:val="continue"/>
            <w:tcBorders>
              <w:left w:val="single" w:color="auto" w:sz="4" w:space="0"/>
            </w:tcBorders>
            <w:shd w:val="clear" w:color="auto" w:fill="F2DBDB" w:themeFill="accent2" w:themeFillTint="33"/>
          </w:tcPr>
          <w:p>
            <w:pPr>
              <w:widowControl/>
              <w:snapToGrid w:val="0"/>
              <w:spacing w:line="312" w:lineRule="auto"/>
              <w:ind w:firstLine="120" w:firstLineChars="50"/>
              <w:rPr>
                <w:rFonts w:ascii="仿宋_GB2312" w:hAnsi="Cambria"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4</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母校满意度</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94.95</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93.56</w:t>
            </w:r>
          </w:p>
        </w:tc>
      </w:tr>
      <w:tr>
        <w:tblPrEx>
          <w:tblLayout w:type="fixed"/>
          <w:tblCellMar>
            <w:top w:w="0" w:type="dxa"/>
            <w:left w:w="108" w:type="dxa"/>
            <w:bottom w:w="0" w:type="dxa"/>
            <w:right w:w="108" w:type="dxa"/>
          </w:tblCellMar>
        </w:tblPrEx>
        <w:trPr>
          <w:trHeight w:val="285" w:hRule="atLeast"/>
          <w:jc w:val="center"/>
        </w:trPr>
        <w:tc>
          <w:tcPr>
            <w:tcW w:w="921" w:type="dxa"/>
            <w:vMerge w:val="continue"/>
            <w:tcBorders>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767" w:type="dxa"/>
            <w:vMerge w:val="continue"/>
            <w:tcBorders>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5</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自主创业比例</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2.00</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0.25</w:t>
            </w:r>
          </w:p>
        </w:tc>
      </w:tr>
      <w:tr>
        <w:tblPrEx>
          <w:tblLayout w:type="fixed"/>
          <w:tblCellMar>
            <w:top w:w="0" w:type="dxa"/>
            <w:left w:w="108" w:type="dxa"/>
            <w:bottom w:w="0" w:type="dxa"/>
            <w:right w:w="108" w:type="dxa"/>
          </w:tblCellMar>
        </w:tblPrEx>
        <w:trPr>
          <w:trHeight w:val="285" w:hRule="atLeast"/>
          <w:jc w:val="center"/>
        </w:trPr>
        <w:tc>
          <w:tcPr>
            <w:tcW w:w="921" w:type="dxa"/>
            <w:vMerge w:val="continue"/>
            <w:tcBorders>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767" w:type="dxa"/>
            <w:vMerge w:val="continue"/>
            <w:tcBorders>
              <w:left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6</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雇主满意度</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98.57</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98.02</w:t>
            </w:r>
          </w:p>
        </w:tc>
      </w:tr>
      <w:tr>
        <w:tblPrEx>
          <w:tblLayout w:type="fixed"/>
          <w:tblCellMar>
            <w:top w:w="0" w:type="dxa"/>
            <w:left w:w="108" w:type="dxa"/>
            <w:bottom w:w="0" w:type="dxa"/>
            <w:right w:w="108" w:type="dxa"/>
          </w:tblCellMar>
        </w:tblPrEx>
        <w:trPr>
          <w:trHeight w:val="285" w:hRule="atLeast"/>
          <w:jc w:val="center"/>
        </w:trPr>
        <w:tc>
          <w:tcPr>
            <w:tcW w:w="921" w:type="dxa"/>
            <w:vMerge w:val="continue"/>
            <w:tcBorders>
              <w:left w:val="single" w:color="auto" w:sz="4" w:space="0"/>
              <w:bottom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767" w:type="dxa"/>
            <w:vMerge w:val="continue"/>
            <w:tcBorders>
              <w:left w:val="single" w:color="auto" w:sz="4" w:space="0"/>
              <w:bottom w:val="single" w:color="auto" w:sz="4" w:space="0"/>
            </w:tcBorders>
            <w:shd w:val="clear" w:color="auto" w:fill="F2DBDB" w:themeFill="accent2" w:themeFillTint="33"/>
          </w:tcPr>
          <w:p>
            <w:pPr>
              <w:widowControl/>
              <w:snapToGrid w:val="0"/>
              <w:spacing w:line="312" w:lineRule="auto"/>
              <w:jc w:val="center"/>
              <w:rPr>
                <w:rFonts w:ascii="仿宋_GB2312" w:hAnsi="Cambria" w:eastAsia="仿宋_GB2312" w:cs="宋体"/>
                <w:kern w:val="0"/>
                <w:sz w:val="24"/>
              </w:rPr>
            </w:pPr>
          </w:p>
        </w:tc>
        <w:tc>
          <w:tcPr>
            <w:tcW w:w="473" w:type="dxa"/>
            <w:tcBorders>
              <w:top w:val="nil"/>
              <w:left w:val="single" w:color="auto" w:sz="4" w:space="0"/>
              <w:bottom w:val="single" w:color="auto" w:sz="4" w:space="0"/>
              <w:right w:val="single" w:color="auto" w:sz="4" w:space="0"/>
            </w:tcBorders>
            <w:shd w:val="clear" w:color="auto" w:fill="F2DBDB" w:themeFill="accent2" w:themeFillTint="33"/>
            <w:noWrap/>
            <w:vAlign w:val="center"/>
          </w:tcPr>
          <w:p>
            <w:pPr>
              <w:widowControl/>
              <w:snapToGrid w:val="0"/>
              <w:spacing w:line="312" w:lineRule="auto"/>
              <w:rPr>
                <w:rFonts w:ascii="仿宋_GB2312" w:hAnsi="Cambria" w:eastAsia="仿宋_GB2312" w:cs="宋体"/>
                <w:kern w:val="0"/>
                <w:sz w:val="24"/>
              </w:rPr>
            </w:pPr>
            <w:r>
              <w:rPr>
                <w:rFonts w:hint="eastAsia" w:ascii="仿宋_GB2312" w:hAnsi="Cambria" w:eastAsia="仿宋_GB2312" w:cs="宋体"/>
                <w:kern w:val="0"/>
                <w:sz w:val="24"/>
              </w:rPr>
              <w:t>7</w:t>
            </w:r>
          </w:p>
        </w:tc>
        <w:tc>
          <w:tcPr>
            <w:tcW w:w="3506"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left"/>
              <w:rPr>
                <w:rFonts w:ascii="仿宋_GB2312" w:hAnsi="Cambria" w:eastAsia="仿宋_GB2312" w:cs="宋体"/>
                <w:kern w:val="0"/>
                <w:sz w:val="24"/>
              </w:rPr>
            </w:pPr>
            <w:r>
              <w:rPr>
                <w:rFonts w:hint="eastAsia" w:ascii="仿宋_GB2312" w:hAnsi="Cambria" w:eastAsia="仿宋_GB2312" w:cs="宋体"/>
                <w:kern w:val="0"/>
                <w:sz w:val="24"/>
              </w:rPr>
              <w:t>毕业三年职位晋升比例</w:t>
            </w:r>
          </w:p>
        </w:tc>
        <w:tc>
          <w:tcPr>
            <w:tcW w:w="854" w:type="dxa"/>
            <w:tcBorders>
              <w:top w:val="nil"/>
              <w:left w:val="nil"/>
              <w:bottom w:val="single" w:color="auto" w:sz="4" w:space="0"/>
              <w:right w:val="single" w:color="auto" w:sz="4" w:space="0"/>
            </w:tcBorders>
            <w:shd w:val="clear" w:color="auto" w:fill="F2DBDB" w:themeFill="accent2" w:themeFillTint="33"/>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w:t>
            </w:r>
          </w:p>
        </w:tc>
        <w:tc>
          <w:tcPr>
            <w:tcW w:w="1140"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64.59</w:t>
            </w:r>
          </w:p>
        </w:tc>
        <w:tc>
          <w:tcPr>
            <w:tcW w:w="1192" w:type="dxa"/>
            <w:tcBorders>
              <w:top w:val="nil"/>
              <w:left w:val="nil"/>
              <w:bottom w:val="single" w:color="auto" w:sz="4" w:space="0"/>
              <w:right w:val="single" w:color="auto" w:sz="4" w:space="0"/>
            </w:tcBorders>
            <w:shd w:val="clear" w:color="auto" w:fill="F2DBDB" w:themeFill="accent2" w:themeFillTint="33"/>
            <w:noWrap/>
            <w:vAlign w:val="center"/>
          </w:tcPr>
          <w:p>
            <w:pPr>
              <w:widowControl/>
              <w:snapToGrid w:val="0"/>
              <w:spacing w:line="312" w:lineRule="auto"/>
              <w:jc w:val="center"/>
              <w:rPr>
                <w:rFonts w:ascii="仿宋_GB2312" w:hAnsi="Cambria" w:eastAsia="仿宋_GB2312" w:cs="宋体"/>
                <w:kern w:val="0"/>
                <w:sz w:val="24"/>
              </w:rPr>
            </w:pPr>
            <w:r>
              <w:rPr>
                <w:rFonts w:hint="eastAsia" w:ascii="仿宋_GB2312" w:hAnsi="Cambria" w:eastAsia="仿宋_GB2312" w:cs="宋体"/>
                <w:kern w:val="0"/>
                <w:sz w:val="24"/>
              </w:rPr>
              <w:t>65.12</w:t>
            </w:r>
          </w:p>
        </w:tc>
      </w:tr>
    </w:tbl>
    <w:p>
      <w:pPr>
        <w:spacing w:beforeLines="50"/>
        <w:ind w:right="1049" w:firstLine="1890" w:firstLineChars="900"/>
        <w:jc w:val="both"/>
        <w:outlineLvl w:val="1"/>
        <w:rPr>
          <w:rFonts w:ascii="楷体" w:hAnsi="楷体" w:eastAsia="楷体" w:cs="隶书"/>
          <w:color w:val="000000"/>
          <w:szCs w:val="21"/>
        </w:rPr>
      </w:pPr>
      <w:r>
        <w:rPr>
          <w:rFonts w:hint="eastAsia" w:ascii="楷体" w:hAnsi="楷体" w:eastAsia="楷体" w:cs="隶书"/>
          <w:color w:val="000000"/>
          <w:szCs w:val="21"/>
        </w:rPr>
        <w:t>数据来源：高等职业院校人才培养工作状态数据采集与管理系统</w:t>
      </w:r>
    </w:p>
    <w:p>
      <w:pPr>
        <w:pStyle w:val="44"/>
        <w:spacing w:after="312"/>
      </w:pPr>
      <w:bookmarkStart w:id="47" w:name="_Toc25280"/>
      <w:r>
        <w:rPr>
          <w:rFonts w:hint="eastAsia"/>
        </w:rPr>
        <w:t>2  教学</w:t>
      </w:r>
      <w:bookmarkEnd w:id="16"/>
      <w:bookmarkEnd w:id="17"/>
      <w:bookmarkEnd w:id="18"/>
      <w:bookmarkEnd w:id="19"/>
      <w:r>
        <w:rPr>
          <w:rFonts w:hint="eastAsia"/>
        </w:rPr>
        <w:t>改革</w:t>
      </w:r>
      <w:bookmarkEnd w:id="47"/>
    </w:p>
    <w:p>
      <w:pPr>
        <w:pStyle w:val="46"/>
        <w:spacing w:before="156" w:after="156"/>
      </w:pPr>
      <w:bookmarkStart w:id="48" w:name="_Toc18494"/>
      <w:bookmarkStart w:id="49" w:name="_Toc24722"/>
      <w:bookmarkStart w:id="50" w:name="_Toc20121"/>
      <w:bookmarkStart w:id="51" w:name="_Toc20127"/>
      <w:bookmarkStart w:id="52" w:name="_Toc23965"/>
      <w:r>
        <w:rPr>
          <w:rFonts w:hint="eastAsia"/>
        </w:rPr>
        <w:t>2.1  立德树人</w:t>
      </w:r>
      <w:bookmarkEnd w:id="48"/>
    </w:p>
    <w:p>
      <w:pPr>
        <w:pStyle w:val="48"/>
        <w:spacing w:before="78" w:after="78"/>
      </w:pPr>
      <w:bookmarkStart w:id="53" w:name="_Toc8372"/>
      <w:r>
        <w:rPr>
          <w:rFonts w:hint="eastAsia"/>
        </w:rPr>
        <w:t>2.1.1  课程思政推动思政改革创新</w:t>
      </w:r>
      <w:bookmarkEnd w:id="53"/>
    </w:p>
    <w:p>
      <w:pPr>
        <w:pStyle w:val="50"/>
      </w:pPr>
      <w:r>
        <w:rPr>
          <w:rFonts w:hint="eastAsia"/>
        </w:rPr>
        <w:t>全国教育大会召开后，学院成立了以党委书记为组长的贯彻落实全国教育大会精神领导小组，强调课程思政和思政课程改革，推动思想政治工作创新发展，做好立德树人工作。2019年，学院实施课程思政的课程比例85.76%，校级以上思政教育研究项目立项4项，累计打造思政教育品牌活动7个，8名思政专职教师全年参加省市培训共8批8人次。</w:t>
      </w:r>
    </w:p>
    <w:p>
      <w:pPr>
        <w:pStyle w:val="48"/>
        <w:spacing w:before="78" w:after="78"/>
      </w:pPr>
      <w:bookmarkStart w:id="54" w:name="_Toc14133"/>
      <w:r>
        <w:rPr>
          <w:rFonts w:hint="eastAsia"/>
        </w:rPr>
        <w:t>2.1.2  特色社团发展活动为载体的“三全”育人模式</w:t>
      </w:r>
      <w:bookmarkEnd w:id="54"/>
    </w:p>
    <w:p>
      <w:pPr>
        <w:pStyle w:val="50"/>
        <w:rPr>
          <w:color w:val="0000FF"/>
        </w:rPr>
      </w:pPr>
      <w:r>
        <w:rPr>
          <w:rFonts w:hint="eastAsia"/>
        </w:rPr>
        <w:t>构建以大学生思想政治教育为主要内容，以特色社团发展活动为载体的“全员、全过程、全方位”的三全育人模式，利用多种形式宣传习近平时总书记关于教育重要论述和全国教育大会精神，培养德智体美劳全面发展的社会主义建设者和接班人。有学生社团22个，参与各社团的学生人数达4198人，学生参与志愿者活动的时间90.5人日。</w:t>
      </w:r>
    </w:p>
    <w:tbl>
      <w:tblPr>
        <w:tblStyle w:val="20"/>
        <w:tblW w:w="9180" w:type="dxa"/>
        <w:jc w:val="center"/>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jc w:val="center"/>
        </w:trPr>
        <w:tc>
          <w:tcPr>
            <w:tcW w:w="9180" w:type="dxa"/>
            <w:shd w:val="clear" w:color="auto" w:fill="D99594" w:themeFill="accent2" w:themeFillTint="99"/>
          </w:tcPr>
          <w:p>
            <w:pPr>
              <w:pStyle w:val="48"/>
              <w:spacing w:before="78" w:after="78"/>
              <w:ind w:firstLine="0" w:firstLineChars="0"/>
            </w:pPr>
            <w:bookmarkStart w:id="55" w:name="_Toc9206"/>
            <w:r>
              <w:rPr>
                <w:rFonts w:hint="eastAsia"/>
              </w:rPr>
              <w:t>【案例2】  院团委积极开展活动育人</w:t>
            </w:r>
            <w:bookmarkEnd w:id="55"/>
          </w:p>
        </w:tc>
      </w:tr>
      <w:tr>
        <w:tblPrEx>
          <w:tblLayout w:type="fixed"/>
          <w:tblCellMar>
            <w:top w:w="0" w:type="dxa"/>
            <w:left w:w="108" w:type="dxa"/>
            <w:bottom w:w="0" w:type="dxa"/>
            <w:right w:w="108" w:type="dxa"/>
          </w:tblCellMar>
        </w:tblPrEx>
        <w:trPr>
          <w:trHeight w:val="4886" w:hRule="atLeast"/>
          <w:jc w:val="center"/>
        </w:trPr>
        <w:tc>
          <w:tcPr>
            <w:tcW w:w="9180" w:type="dxa"/>
            <w:shd w:val="clear" w:color="auto" w:fill="FDE9D9" w:themeFill="accent6" w:themeFillTint="33"/>
            <w:vAlign w:val="center"/>
          </w:tcPr>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院团委利用多种形式宣传习近平时总书记关于教育重要论述和全国教育大会精神，全方位育人，培养德智体美劳全面发展的社会主义建设者和接班人。2019年10月，在庆祝新中国成立70周年之际，举办了湖南都市职业学院庆国庆活动</w:t>
            </w:r>
            <w:r>
              <w:rPr>
                <w:rFonts w:hint="eastAsia" w:ascii="楷体" w:hAnsi="楷体" w:eastAsia="楷体" w:cs="楷体"/>
                <w:bCs/>
                <w:color w:val="000000"/>
                <w:sz w:val="24"/>
                <w:lang w:eastAsia="zh-CN"/>
              </w:rPr>
              <w:t>（见图</w:t>
            </w:r>
            <w:r>
              <w:rPr>
                <w:rFonts w:hint="eastAsia" w:ascii="楷体" w:hAnsi="楷体" w:eastAsia="楷体" w:cs="楷体"/>
                <w:bCs/>
                <w:color w:val="000000"/>
                <w:sz w:val="24"/>
                <w:lang w:val="en-US" w:eastAsia="zh-CN"/>
              </w:rPr>
              <w:t>2-1）</w:t>
            </w:r>
            <w:r>
              <w:rPr>
                <w:rFonts w:hint="eastAsia" w:ascii="楷体" w:hAnsi="楷体" w:eastAsia="楷体" w:cs="楷体"/>
                <w:bCs/>
                <w:color w:val="000000"/>
                <w:sz w:val="24"/>
              </w:rPr>
              <w:t>。活动创新形式，将习近平新时代中国特色社会主义思想、社会主义核心价值观、职业素养以及中国传统文化等融入活动节目中。同时，在活动过程中采用了网络直播、新媒体平台微信公号“都市好青年”等方式线上线下共同宣传，扩大影响力。据统计，活动现场观众约6000人，线上直播观看量13.86万。本次活动使学院广大师生在感受校园的活跃气息同时，让总书记关于教育重要论述、全国教育大会精神和社会主义核心价值观深入人心，增强了学生爱国爱校情感。</w:t>
            </w:r>
          </w:p>
        </w:tc>
      </w:tr>
    </w:tbl>
    <w:p>
      <w:pPr>
        <w:pStyle w:val="50"/>
        <w:spacing w:line="240" w:lineRule="auto"/>
      </w:pPr>
      <w:bookmarkStart w:id="56" w:name="_Toc24307"/>
      <w:bookmarkStart w:id="57" w:name="_Toc21567"/>
      <w:r>
        <w:rPr>
          <w:rFonts w:hint="eastAsia"/>
        </w:rPr>
        <w:drawing>
          <wp:inline distT="0" distB="0" distL="114300" distR="114300">
            <wp:extent cx="5226050" cy="3484245"/>
            <wp:effectExtent l="0" t="0" r="12700" b="1905"/>
            <wp:docPr id="16" name="图片 16" descr="全方位育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全方位育人-2"/>
                    <pic:cNvPicPr>
                      <a:picLocks noChangeAspect="1"/>
                    </pic:cNvPicPr>
                  </pic:nvPicPr>
                  <pic:blipFill>
                    <a:blip r:embed="rId16" cstate="print"/>
                    <a:stretch>
                      <a:fillRect/>
                    </a:stretch>
                  </pic:blipFill>
                  <pic:spPr>
                    <a:xfrm>
                      <a:off x="0" y="0"/>
                      <a:ext cx="5226050" cy="3484245"/>
                    </a:xfrm>
                    <a:prstGeom prst="rect">
                      <a:avLst/>
                    </a:prstGeom>
                  </pic:spPr>
                </pic:pic>
              </a:graphicData>
            </a:graphic>
          </wp:inline>
        </w:drawing>
      </w:r>
      <w:bookmarkEnd w:id="56"/>
      <w:bookmarkEnd w:id="57"/>
    </w:p>
    <w:p>
      <w:pPr>
        <w:ind w:firstLine="400" w:firstLineChars="200"/>
        <w:jc w:val="center"/>
        <w:outlineLvl w:val="2"/>
        <w:rPr>
          <w:rFonts w:ascii="黑体" w:hAnsi="黑体" w:eastAsia="黑体" w:cs="仿宋_GB2312"/>
          <w:bCs/>
          <w:color w:val="00B050"/>
          <w:sz w:val="20"/>
          <w:szCs w:val="20"/>
        </w:rPr>
      </w:pPr>
      <w:r>
        <w:rPr>
          <w:rFonts w:hint="eastAsia" w:ascii="黑体" w:hAnsi="黑体" w:eastAsia="黑体" w:cs="仿宋_GB2312"/>
          <w:bCs/>
          <w:color w:val="00B050"/>
          <w:sz w:val="20"/>
          <w:szCs w:val="20"/>
        </w:rPr>
        <w:t>■图2-1  湖南都市职业学院庆国庆70周年活动</w:t>
      </w:r>
    </w:p>
    <w:p>
      <w:pPr>
        <w:pStyle w:val="48"/>
        <w:spacing w:before="78" w:after="78"/>
      </w:pPr>
      <w:bookmarkStart w:id="58" w:name="_Toc23825"/>
      <w:r>
        <w:rPr>
          <w:rFonts w:hint="eastAsia"/>
        </w:rPr>
        <w:t>2.1.3  培养学生劳动意识和劳动精神</w:t>
      </w:r>
      <w:bookmarkEnd w:id="58"/>
    </w:p>
    <w:p>
      <w:pPr>
        <w:pStyle w:val="50"/>
      </w:pPr>
      <w:r>
        <w:rPr>
          <w:rFonts w:hint="eastAsia"/>
        </w:rPr>
        <w:t>学院加强对学生的劳动教育，培养学生劳动意识和劳动精神，累计建立校内劳动教育基地数3个，2019年生均周劳动9小时。</w:t>
      </w:r>
    </w:p>
    <w:p>
      <w:pPr>
        <w:pStyle w:val="48"/>
        <w:spacing w:before="78" w:after="78"/>
      </w:pPr>
      <w:bookmarkStart w:id="59" w:name="_Toc17176"/>
      <w:r>
        <w:rPr>
          <w:rFonts w:hint="eastAsia"/>
        </w:rPr>
        <w:t>2.1.4  校企联合培养“芙蓉工匠”</w:t>
      </w:r>
      <w:bookmarkEnd w:id="59"/>
    </w:p>
    <w:p>
      <w:pPr>
        <w:pStyle w:val="50"/>
      </w:pPr>
      <w:r>
        <w:rPr>
          <w:rFonts w:hint="eastAsia"/>
        </w:rPr>
        <w:t>学校注重工匠精神培育和传承，贺伦英印刷包装技能名师工作室发挥重要作用，在建筑工程技术、印刷媒体技术、数控技术等课程中开设有关工匠精神教育和传承内容。与企业合作共建生产性实训基地，开展技能竞赛，推进“工匠进校园、学生下车间”常态化，先后聘请产业导师30名，行业企业高技能人才42名来校授课，345名学生先后到企业拜师学艺。与此同时，贺伦英名师工作室、产业导师、技能大师、青年教师和优秀学生组成创新团队，改进工艺8项，20%的学生正在成为企业技术骨干，正成长为“芙蓉工匠”新生代。</w:t>
      </w:r>
    </w:p>
    <w:p>
      <w:pPr>
        <w:tabs>
          <w:tab w:val="left" w:pos="1744"/>
        </w:tabs>
        <w:jc w:val="left"/>
        <w:rPr>
          <w:rFonts w:ascii="黑体" w:hAnsi="黑体" w:eastAsia="黑体" w:cs="仿宋_GB2312"/>
          <w:bCs/>
          <w:color w:val="00B050"/>
          <w:sz w:val="20"/>
          <w:szCs w:val="20"/>
        </w:rPr>
      </w:pPr>
      <w:r>
        <w:rPr>
          <w:rFonts w:hint="eastAsia" w:ascii="黑体" w:hAnsi="黑体" w:eastAsia="黑体" w:cs="仿宋_GB2312"/>
          <w:bCs/>
          <w:color w:val="00B050"/>
          <w:sz w:val="20"/>
          <w:szCs w:val="20"/>
        </w:rPr>
        <w:tab/>
      </w:r>
    </w:p>
    <w:tbl>
      <w:tblPr>
        <w:tblStyle w:val="20"/>
        <w:tblW w:w="9180" w:type="dxa"/>
        <w:jc w:val="center"/>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jc w:val="center"/>
        </w:trPr>
        <w:tc>
          <w:tcPr>
            <w:tcW w:w="9180" w:type="dxa"/>
            <w:shd w:val="clear" w:color="auto" w:fill="D99594" w:themeFill="accent2" w:themeFillTint="99"/>
          </w:tcPr>
          <w:p>
            <w:pPr>
              <w:pStyle w:val="48"/>
              <w:spacing w:before="78" w:after="78"/>
              <w:ind w:firstLine="0" w:firstLineChars="0"/>
            </w:pPr>
            <w:bookmarkStart w:id="60" w:name="_Toc28330"/>
            <w:r>
              <w:rPr>
                <w:rFonts w:hint="eastAsia"/>
              </w:rPr>
              <w:t>【案例3】  建筑系与企业合作举行第六届专业技能大赛</w:t>
            </w:r>
            <w:bookmarkEnd w:id="60"/>
          </w:p>
        </w:tc>
      </w:tr>
      <w:tr>
        <w:tblPrEx>
          <w:tblLayout w:type="fixed"/>
          <w:tblCellMar>
            <w:top w:w="0" w:type="dxa"/>
            <w:left w:w="108" w:type="dxa"/>
            <w:bottom w:w="0" w:type="dxa"/>
            <w:right w:w="108" w:type="dxa"/>
          </w:tblCellMar>
        </w:tblPrEx>
        <w:trPr>
          <w:trHeight w:val="4281" w:hRule="atLeast"/>
          <w:jc w:val="center"/>
        </w:trPr>
        <w:tc>
          <w:tcPr>
            <w:tcW w:w="9180" w:type="dxa"/>
            <w:shd w:val="clear" w:color="auto" w:fill="FDE9D9" w:themeFill="accent6" w:themeFillTint="33"/>
            <w:vAlign w:val="center"/>
          </w:tcPr>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建筑系第六届专业技能大赛从5月20日开始，至7月1日结束。本次大赛由建筑系主办，长沙弘智项目管理咨询有限公司、吉喆测量公司协办，是历届专业技能大赛以来历时最长、项目最多和收效最好的一次赛事。</w:t>
            </w:r>
          </w:p>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本次竞赛包括“吉喆杯”测绘、“弘智杯”CAD绘图、钢筋与模板工程、建筑手绘图等16 项分赛。有20余名专业和企业指导教师参加，他们充分发挥团队作用，科学设计和严密组织，分工负责、务实协调，保证了各项比赛顺利完成。共有548名学生参加了不同项目的比赛。赛后，经评委老师仔细评审，156人在比赛中获奖。其中一等奖24人，二等奖44人，三等奖64人，优胜奖24人。</w:t>
            </w:r>
          </w:p>
          <w:p>
            <w:pPr>
              <w:spacing w:line="520" w:lineRule="exact"/>
              <w:ind w:firstLine="480" w:firstLineChars="200"/>
              <w:jc w:val="left"/>
              <w:rPr>
                <w:rFonts w:hint="eastAsia" w:ascii="楷体" w:hAnsi="楷体" w:eastAsia="黑体" w:cs="楷体"/>
                <w:bCs/>
                <w:color w:val="000000"/>
                <w:sz w:val="24"/>
                <w:lang w:eastAsia="zh-CN"/>
              </w:rPr>
            </w:pPr>
            <w:r>
              <w:rPr>
                <w:rFonts w:hint="eastAsia" w:ascii="楷体" w:hAnsi="楷体" w:eastAsia="楷体" w:cs="楷体"/>
                <w:bCs/>
                <w:color w:val="000000"/>
                <w:sz w:val="24"/>
              </w:rPr>
              <w:t>本次大赛以技能竞赛为载体，有效提升了教师教学能力、激发学生学习兴趣和提高学生就业能力。图2-2</w:t>
            </w:r>
            <w:r>
              <w:rPr>
                <w:rFonts w:hint="eastAsia" w:ascii="楷体" w:hAnsi="楷体" w:eastAsia="楷体" w:cs="楷体"/>
                <w:bCs/>
                <w:color w:val="000000"/>
                <w:sz w:val="24"/>
                <w:lang w:eastAsia="zh-CN"/>
              </w:rPr>
              <w:t>为</w:t>
            </w:r>
            <w:r>
              <w:rPr>
                <w:rFonts w:hint="eastAsia" w:ascii="楷体" w:hAnsi="楷体" w:eastAsia="楷体" w:cs="楷体"/>
                <w:bCs/>
                <w:color w:val="000000"/>
                <w:sz w:val="24"/>
              </w:rPr>
              <w:t>钢筋与模板工程竞赛</w:t>
            </w:r>
            <w:r>
              <w:rPr>
                <w:rFonts w:hint="eastAsia" w:ascii="楷体" w:hAnsi="楷体" w:eastAsia="楷体" w:cs="楷体"/>
                <w:bCs/>
                <w:color w:val="000000"/>
                <w:sz w:val="24"/>
                <w:lang w:eastAsia="zh-CN"/>
              </w:rPr>
              <w:t>现场</w:t>
            </w:r>
            <w:r>
              <w:rPr>
                <w:rFonts w:hint="eastAsia" w:ascii="楷体" w:hAnsi="楷体" w:eastAsia="楷体" w:cs="楷体"/>
                <w:bCs/>
                <w:color w:val="000000"/>
                <w:sz w:val="24"/>
              </w:rPr>
              <w:t>中聚精会神的学生</w:t>
            </w:r>
            <w:r>
              <w:rPr>
                <w:rFonts w:hint="eastAsia" w:ascii="楷体" w:hAnsi="楷体" w:eastAsia="楷体" w:cs="楷体"/>
                <w:bCs/>
                <w:color w:val="000000"/>
                <w:sz w:val="24"/>
                <w:lang w:eastAsia="zh-CN"/>
              </w:rPr>
              <w:t>。</w:t>
            </w:r>
          </w:p>
        </w:tc>
      </w:tr>
    </w:tbl>
    <w:p>
      <w:pPr>
        <w:tabs>
          <w:tab w:val="left" w:pos="1744"/>
        </w:tabs>
        <w:jc w:val="left"/>
        <w:rPr>
          <w:rFonts w:ascii="黑体" w:hAnsi="黑体" w:eastAsia="黑体" w:cs="仿宋_GB2312"/>
          <w:bCs/>
          <w:color w:val="00B050"/>
          <w:sz w:val="20"/>
          <w:szCs w:val="20"/>
        </w:rPr>
      </w:pPr>
    </w:p>
    <w:p>
      <w:pPr>
        <w:jc w:val="center"/>
        <w:rPr>
          <w:rFonts w:ascii="黑体" w:hAnsi="黑体" w:eastAsia="黑体" w:cs="仿宋_GB2312"/>
          <w:bCs/>
          <w:color w:val="00B050"/>
          <w:sz w:val="20"/>
          <w:szCs w:val="20"/>
        </w:rPr>
      </w:pPr>
      <w:r>
        <w:rPr>
          <w:rFonts w:hint="eastAsia" w:ascii="黑体" w:hAnsi="黑体" w:eastAsia="黑体" w:cs="仿宋_GB2312"/>
          <w:bCs/>
          <w:color w:val="00B050"/>
          <w:sz w:val="20"/>
          <w:szCs w:val="20"/>
        </w:rPr>
        <w:drawing>
          <wp:inline distT="0" distB="0" distL="114300" distR="114300">
            <wp:extent cx="5683885" cy="4251960"/>
            <wp:effectExtent l="0" t="0" r="12065" b="15240"/>
            <wp:docPr id="8" name="图片 8" descr="建筑高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筑高清-2"/>
                    <pic:cNvPicPr>
                      <a:picLocks noChangeAspect="1"/>
                    </pic:cNvPicPr>
                  </pic:nvPicPr>
                  <pic:blipFill>
                    <a:blip r:embed="rId17" cstate="print"/>
                    <a:stretch>
                      <a:fillRect/>
                    </a:stretch>
                  </pic:blipFill>
                  <pic:spPr>
                    <a:xfrm>
                      <a:off x="0" y="0"/>
                      <a:ext cx="5683885" cy="4251960"/>
                    </a:xfrm>
                    <a:prstGeom prst="rect">
                      <a:avLst/>
                    </a:prstGeom>
                  </pic:spPr>
                </pic:pic>
              </a:graphicData>
            </a:graphic>
          </wp:inline>
        </w:drawing>
      </w:r>
    </w:p>
    <w:p>
      <w:pPr>
        <w:jc w:val="center"/>
        <w:rPr>
          <w:rFonts w:ascii="黑体" w:hAnsi="黑体" w:eastAsia="黑体" w:cs="仿宋_GB2312"/>
          <w:bCs/>
          <w:color w:val="00B050"/>
          <w:sz w:val="20"/>
          <w:szCs w:val="20"/>
        </w:rPr>
      </w:pPr>
      <w:r>
        <w:rPr>
          <w:rFonts w:hint="eastAsia" w:ascii="黑体" w:hAnsi="黑体" w:eastAsia="黑体" w:cs="仿宋_GB2312"/>
          <w:bCs/>
          <w:color w:val="00B050"/>
          <w:sz w:val="20"/>
          <w:szCs w:val="20"/>
        </w:rPr>
        <w:t>■图2-2 钢筋与模板工程竞赛中聚精会神的学生</w:t>
      </w:r>
    </w:p>
    <w:p>
      <w:pPr>
        <w:pStyle w:val="46"/>
        <w:spacing w:before="156" w:after="156"/>
      </w:pPr>
      <w:bookmarkStart w:id="61" w:name="_Toc24051"/>
      <w:r>
        <w:rPr>
          <w:rFonts w:hint="eastAsia"/>
        </w:rPr>
        <w:t>2.2  专业群建设</w:t>
      </w:r>
      <w:bookmarkEnd w:id="61"/>
    </w:p>
    <w:p>
      <w:pPr>
        <w:pStyle w:val="48"/>
        <w:spacing w:before="78" w:after="78"/>
      </w:pPr>
      <w:bookmarkStart w:id="62" w:name="_Toc22860"/>
      <w:r>
        <w:rPr>
          <w:rFonts w:hint="eastAsia"/>
        </w:rPr>
        <w:t>2.2.1  根据主导产业发展优化调整专业结构</w:t>
      </w:r>
      <w:bookmarkEnd w:id="62"/>
    </w:p>
    <w:p>
      <w:pPr>
        <w:pStyle w:val="50"/>
      </w:pPr>
      <w:r>
        <w:rPr>
          <w:rFonts w:hint="eastAsia"/>
        </w:rPr>
        <w:t>学校根据“二区一园”（国家级长沙经济技术开发区、长沙黄花临空经济区和湖南印刷工业园）主导产业发展，优化调整专业结构，形成了印刷包装、航空与高铁服务和建筑工程三大骨干专业群，与园区的印刷包装、航空与高铁服务和装配式建筑产业链紧密对接。到2019年，学校累计有重点建设专业群6个，其中，湖南省高等职业教育一流特色专业群1个，长沙市高职教育特色专业群1个。2019年新增专业4个，撤消专业1个。</w:t>
      </w:r>
    </w:p>
    <w:p>
      <w:pPr>
        <w:pStyle w:val="48"/>
        <w:spacing w:before="78" w:after="78"/>
      </w:pPr>
      <w:bookmarkStart w:id="63" w:name="_Toc28176"/>
      <w:r>
        <w:rPr>
          <w:rFonts w:hint="eastAsia"/>
        </w:rPr>
        <w:t>2.2.2  校企共建实践教学基地</w:t>
      </w:r>
      <w:bookmarkEnd w:id="63"/>
    </w:p>
    <w:p>
      <w:pPr>
        <w:pStyle w:val="50"/>
      </w:pPr>
      <w:r>
        <w:rPr>
          <w:rFonts w:hint="eastAsia"/>
        </w:rPr>
        <w:t>围绕专业群建设，学校加强校企合作，与长沙轨道交通运营公司、恒大集团、点石家装等企业共建了42个校外实训基地，建立了航空服务、轨道交通、数控模具、汽车工程、印刷包装、建筑工程6个校内实训基地，提高学生实践动手能力。</w:t>
      </w:r>
    </w:p>
    <w:tbl>
      <w:tblPr>
        <w:tblStyle w:val="20"/>
        <w:tblW w:w="9180" w:type="dxa"/>
        <w:jc w:val="center"/>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jc w:val="center"/>
        </w:trPr>
        <w:tc>
          <w:tcPr>
            <w:tcW w:w="9180" w:type="dxa"/>
            <w:shd w:val="clear" w:color="auto" w:fill="D99594" w:themeFill="accent2" w:themeFillTint="99"/>
          </w:tcPr>
          <w:p>
            <w:pPr>
              <w:pStyle w:val="48"/>
              <w:spacing w:before="78" w:after="78"/>
              <w:ind w:firstLine="0" w:firstLineChars="0"/>
            </w:pPr>
            <w:bookmarkStart w:id="64" w:name="_Toc13320"/>
            <w:r>
              <w:rPr>
                <w:rFonts w:hint="eastAsia"/>
              </w:rPr>
              <w:t>【案例4】  航空服务与城轨管理系组织新生到地铁站开展识岗活动</w:t>
            </w:r>
            <w:bookmarkEnd w:id="64"/>
          </w:p>
        </w:tc>
      </w:tr>
      <w:tr>
        <w:tblPrEx>
          <w:tblLayout w:type="fixed"/>
          <w:tblCellMar>
            <w:top w:w="0" w:type="dxa"/>
            <w:left w:w="108" w:type="dxa"/>
            <w:bottom w:w="0" w:type="dxa"/>
            <w:right w:w="108" w:type="dxa"/>
          </w:tblCellMar>
        </w:tblPrEx>
        <w:trPr>
          <w:trHeight w:val="601" w:hRule="atLeast"/>
          <w:jc w:val="center"/>
        </w:trPr>
        <w:tc>
          <w:tcPr>
            <w:tcW w:w="9180" w:type="dxa"/>
            <w:shd w:val="clear" w:color="auto" w:fill="FDE9D9" w:themeFill="accent6" w:themeFillTint="33"/>
            <w:vAlign w:val="center"/>
          </w:tcPr>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 xml:space="preserve">为了加强新生对职业岗位的认知，更好地在学习中理论联系实际，每年都组织一年级各专业新生到相关企业，开展识岗实训。2019年11月12日，航空服务与城轨管理系城组织19级轨道交通运营管理专业学生，到校外实习基地长沙轨道交通运营公司开展了一次识岗专业实践活动。 </w:t>
            </w:r>
          </w:p>
          <w:p>
            <w:pPr>
              <w:spacing w:line="520" w:lineRule="exact"/>
              <w:ind w:firstLine="480" w:firstLineChars="200"/>
              <w:jc w:val="left"/>
              <w:rPr>
                <w:rFonts w:hint="eastAsia" w:ascii="楷体" w:hAnsi="楷体" w:eastAsia="黑体" w:cs="楷体"/>
                <w:bCs/>
                <w:color w:val="000000"/>
                <w:sz w:val="24"/>
                <w:lang w:eastAsia="zh-CN"/>
              </w:rPr>
            </w:pPr>
            <w:r>
              <w:rPr>
                <w:rFonts w:hint="eastAsia" w:ascii="楷体" w:hAnsi="楷体" w:eastAsia="楷体" w:cs="楷体"/>
                <w:bCs/>
                <w:color w:val="000000"/>
                <w:sz w:val="24"/>
              </w:rPr>
              <w:t>城轨交通运营管理公司负责人、杜花路站和光达路站的值班站长热情地接待了来站实训的师生，派出4名企业指导老师为学生认真、仔细地讲解了车站自动售检票系统、垂直电梯与自动扶梯、站台安全门系统、车站消防系统、低压配电与照明系统及环境与设备监控系统的概况、结构、功能、使用方法及注意事项。同学们兴致勃勃，和讲解老师积极互动，了解电梯控制键的操作，自动售票机的使用方法，车站控制室的工作流程等问题。还向讲解老师咨询了职业岗位与就业的相关问题。运营公司负责人、值班站长和讲解老师，对学生提出的问题也热情地一一作了解答，鼓励同学们认真学习，长沙地铁有6条线路开通，欢迎同学们来地铁站工作。图2-3</w:t>
            </w:r>
            <w:r>
              <w:rPr>
                <w:rFonts w:hint="eastAsia" w:ascii="楷体" w:hAnsi="楷体" w:eastAsia="楷体" w:cs="楷体"/>
                <w:bCs/>
                <w:color w:val="000000"/>
                <w:sz w:val="24"/>
                <w:lang w:eastAsia="zh-CN"/>
              </w:rPr>
              <w:t>为师生</w:t>
            </w:r>
            <w:r>
              <w:rPr>
                <w:rFonts w:hint="eastAsia" w:ascii="楷体" w:hAnsi="楷体" w:eastAsia="楷体" w:cs="楷体"/>
                <w:bCs/>
                <w:color w:val="000000"/>
                <w:sz w:val="24"/>
              </w:rPr>
              <w:t>在地铁站内</w:t>
            </w:r>
            <w:r>
              <w:rPr>
                <w:rFonts w:hint="eastAsia" w:ascii="楷体" w:hAnsi="楷体" w:eastAsia="楷体" w:cs="楷体"/>
                <w:bCs/>
                <w:color w:val="000000"/>
                <w:sz w:val="24"/>
                <w:lang w:eastAsia="zh-CN"/>
              </w:rPr>
              <w:t>实训基地</w:t>
            </w:r>
            <w:r>
              <w:rPr>
                <w:rFonts w:hint="eastAsia" w:ascii="楷体" w:hAnsi="楷体" w:eastAsia="楷体" w:cs="楷体"/>
                <w:bCs/>
                <w:color w:val="000000"/>
                <w:sz w:val="24"/>
              </w:rPr>
              <w:t>留影</w:t>
            </w:r>
            <w:r>
              <w:rPr>
                <w:rFonts w:hint="eastAsia" w:ascii="楷体" w:hAnsi="楷体" w:eastAsia="楷体" w:cs="楷体"/>
                <w:bCs/>
                <w:color w:val="000000"/>
                <w:sz w:val="24"/>
                <w:lang w:eastAsia="zh-CN"/>
              </w:rPr>
              <w:t>。</w:t>
            </w:r>
          </w:p>
        </w:tc>
      </w:tr>
    </w:tbl>
    <w:p>
      <w:pPr>
        <w:pStyle w:val="50"/>
        <w:spacing w:line="240" w:lineRule="auto"/>
        <w:ind w:firstLine="360"/>
      </w:pPr>
      <w:r>
        <w:rPr>
          <w:rFonts w:ascii="Verdana" w:hAnsi="Verdana" w:cs="Verdana"/>
          <w:sz w:val="18"/>
          <w:szCs w:val="18"/>
        </w:rPr>
        <w:drawing>
          <wp:inline distT="0" distB="0" distL="114300" distR="114300">
            <wp:extent cx="4559300" cy="3419475"/>
            <wp:effectExtent l="0" t="0" r="12700" b="9525"/>
            <wp:docPr id="12" name="图片 12" descr="20141219083821_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41219083821_2343"/>
                    <pic:cNvPicPr>
                      <a:picLocks noChangeAspect="1"/>
                    </pic:cNvPicPr>
                  </pic:nvPicPr>
                  <pic:blipFill>
                    <a:blip r:embed="rId18" cstate="print"/>
                    <a:stretch>
                      <a:fillRect/>
                    </a:stretch>
                  </pic:blipFill>
                  <pic:spPr>
                    <a:xfrm>
                      <a:off x="0" y="0"/>
                      <a:ext cx="4559300" cy="3419475"/>
                    </a:xfrm>
                    <a:prstGeom prst="rect">
                      <a:avLst/>
                    </a:prstGeom>
                  </pic:spPr>
                </pic:pic>
              </a:graphicData>
            </a:graphic>
          </wp:inline>
        </w:drawing>
      </w:r>
    </w:p>
    <w:p>
      <w:pPr>
        <w:ind w:firstLine="420" w:firstLineChars="200"/>
        <w:jc w:val="center"/>
        <w:outlineLvl w:val="2"/>
        <w:rPr>
          <w:rFonts w:ascii="黑体" w:hAnsi="黑体" w:eastAsia="黑体" w:cs="仿宋_GB2312"/>
          <w:bCs/>
          <w:color w:val="00B050"/>
          <w:sz w:val="20"/>
          <w:szCs w:val="20"/>
        </w:rPr>
      </w:pPr>
      <w:r>
        <w:rPr>
          <w:rFonts w:hint="eastAsia"/>
        </w:rPr>
        <w:tab/>
      </w:r>
      <w:r>
        <w:rPr>
          <w:rFonts w:hint="eastAsia" w:ascii="黑体" w:hAnsi="黑体" w:eastAsia="黑体" w:cs="仿宋_GB2312"/>
          <w:bCs/>
          <w:color w:val="00B050"/>
          <w:sz w:val="20"/>
          <w:szCs w:val="20"/>
        </w:rPr>
        <w:t xml:space="preserve">■图2-3  </w:t>
      </w:r>
      <w:r>
        <w:rPr>
          <w:rFonts w:hint="eastAsia" w:ascii="黑体" w:hAnsi="黑体" w:eastAsia="黑体" w:cs="仿宋_GB2312"/>
          <w:bCs/>
          <w:color w:val="00B050"/>
          <w:sz w:val="20"/>
          <w:szCs w:val="20"/>
          <w:lang w:eastAsia="zh-CN"/>
        </w:rPr>
        <w:t>师生</w:t>
      </w:r>
      <w:r>
        <w:rPr>
          <w:rFonts w:hint="eastAsia" w:ascii="黑体" w:hAnsi="黑体" w:eastAsia="黑体" w:cs="仿宋_GB2312"/>
          <w:bCs/>
          <w:color w:val="00B050"/>
          <w:sz w:val="20"/>
          <w:szCs w:val="20"/>
        </w:rPr>
        <w:t>在地铁站内</w:t>
      </w:r>
      <w:r>
        <w:rPr>
          <w:rFonts w:hint="eastAsia" w:ascii="黑体" w:hAnsi="黑体" w:eastAsia="黑体" w:cs="仿宋_GB2312"/>
          <w:bCs/>
          <w:color w:val="00B050"/>
          <w:sz w:val="20"/>
          <w:szCs w:val="20"/>
          <w:lang w:eastAsia="zh-CN"/>
        </w:rPr>
        <w:t>实训基地</w:t>
      </w:r>
      <w:r>
        <w:rPr>
          <w:rFonts w:hint="eastAsia" w:ascii="黑体" w:hAnsi="黑体" w:eastAsia="黑体" w:cs="仿宋_GB2312"/>
          <w:bCs/>
          <w:color w:val="00B050"/>
          <w:sz w:val="20"/>
          <w:szCs w:val="20"/>
        </w:rPr>
        <w:t>留影</w:t>
      </w:r>
    </w:p>
    <w:p>
      <w:pPr>
        <w:pStyle w:val="48"/>
        <w:spacing w:before="78" w:after="78"/>
      </w:pPr>
      <w:bookmarkStart w:id="65" w:name="_Toc19267"/>
      <w:r>
        <w:rPr>
          <w:rFonts w:hint="eastAsia"/>
        </w:rPr>
        <w:t>2.2.3  校企共建精品课程</w:t>
      </w:r>
      <w:bookmarkEnd w:id="65"/>
    </w:p>
    <w:p>
      <w:pPr>
        <w:pStyle w:val="50"/>
        <w:rPr>
          <w:color w:val="0000FF"/>
        </w:rPr>
      </w:pPr>
      <w:r>
        <w:rPr>
          <w:rFonts w:hint="eastAsia"/>
        </w:rPr>
        <w:t>累计开展56门精品资源共享课程建设，其中，《建筑力学》和《组网技术》为长沙市高等职业教育精品网络共享课程建设项目。</w:t>
      </w:r>
    </w:p>
    <w:p>
      <w:pPr>
        <w:pStyle w:val="46"/>
        <w:spacing w:before="156" w:after="156"/>
      </w:pPr>
      <w:bookmarkStart w:id="66" w:name="_Toc10331"/>
      <w:r>
        <w:rPr>
          <w:rFonts w:hint="eastAsia"/>
        </w:rPr>
        <w:t>2.3  校企双元育人</w:t>
      </w:r>
      <w:bookmarkEnd w:id="66"/>
    </w:p>
    <w:p>
      <w:pPr>
        <w:pStyle w:val="48"/>
        <w:spacing w:before="78" w:after="78"/>
      </w:pPr>
      <w:bookmarkStart w:id="67" w:name="_Toc20004"/>
      <w:r>
        <w:rPr>
          <w:rFonts w:hint="eastAsia"/>
        </w:rPr>
        <w:t>2.3.1  探索校级现代学徒制试点</w:t>
      </w:r>
      <w:bookmarkEnd w:id="67"/>
    </w:p>
    <w:p>
      <w:pPr>
        <w:pStyle w:val="50"/>
        <w:rPr>
          <w:color w:val="0000FF"/>
        </w:rPr>
      </w:pPr>
      <w:r>
        <w:rPr>
          <w:rFonts w:hint="eastAsia"/>
        </w:rPr>
        <w:t>2019年在5个专业积极探索现代学徒制，涉及在校生231人，相比2018年增加了2个专业和110人。</w:t>
      </w:r>
    </w:p>
    <w:p>
      <w:pPr>
        <w:pStyle w:val="48"/>
        <w:spacing w:before="78" w:after="78"/>
      </w:pPr>
      <w:bookmarkStart w:id="68" w:name="_Toc30025"/>
      <w:r>
        <w:rPr>
          <w:rFonts w:hint="eastAsia"/>
        </w:rPr>
        <w:t>2.3.2  多样化订单培养</w:t>
      </w:r>
      <w:bookmarkEnd w:id="68"/>
    </w:p>
    <w:p>
      <w:pPr>
        <w:pStyle w:val="50"/>
      </w:pPr>
      <w:r>
        <w:rPr>
          <w:rFonts w:hint="eastAsia"/>
        </w:rPr>
        <w:t>2019年，订单（定向）班数47个，订单培养人数2185人，订单培养比例21%，较2018年略有下降（见图2-4）。</w:t>
      </w:r>
    </w:p>
    <w:p>
      <w:pPr>
        <w:ind w:firstLine="420" w:firstLineChars="200"/>
        <w:jc w:val="center"/>
        <w:rPr>
          <w:rFonts w:ascii="仿宋_GB2312" w:hAnsi="仿宋_GB2312" w:eastAsia="仿宋_GB2312" w:cs="仿宋_GB2312"/>
          <w:color w:val="000000"/>
          <w:sz w:val="28"/>
          <w:szCs w:val="28"/>
        </w:rPr>
      </w:pPr>
      <w:r>
        <w:drawing>
          <wp:inline distT="0" distB="0" distL="114300" distR="114300">
            <wp:extent cx="5401310" cy="3471545"/>
            <wp:effectExtent l="19050" t="0" r="27940"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黑体" w:hAnsi="黑体" w:eastAsia="黑体" w:cs="仿宋_GB2312"/>
          <w:bCs/>
          <w:color w:val="00B050"/>
          <w:sz w:val="20"/>
          <w:szCs w:val="20"/>
        </w:rPr>
        <w:t>■图2-4  2013—2019年订单培养比例变化情况</w:t>
      </w:r>
    </w:p>
    <w:p>
      <w:pPr>
        <w:ind w:firstLine="560" w:firstLineChars="20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r>
        <w:rPr>
          <w:rFonts w:hint="eastAsia" w:ascii="楷体" w:hAnsi="楷体" w:eastAsia="楷体" w:cs="仿宋_GB2312"/>
          <w:szCs w:val="21"/>
        </w:rPr>
        <w:t>数据来源：湖南都市职业学院教务处</w:t>
      </w:r>
    </w:p>
    <w:p>
      <w:pPr>
        <w:pStyle w:val="48"/>
        <w:spacing w:before="78" w:after="78"/>
      </w:pPr>
      <w:bookmarkStart w:id="69" w:name="_Toc1867"/>
      <w:r>
        <w:rPr>
          <w:rFonts w:hint="eastAsia"/>
        </w:rPr>
        <w:t>2.3.3  积极参加集团化办学</w:t>
      </w:r>
      <w:bookmarkEnd w:id="69"/>
    </w:p>
    <w:p>
      <w:pPr>
        <w:pStyle w:val="50"/>
      </w:pPr>
      <w:r>
        <w:rPr>
          <w:rFonts w:hint="eastAsia"/>
        </w:rPr>
        <w:t>学校积极参加集团化办学，加盟了湖南省建筑职业教育集团、农村电商联盟集团化教学项目，探讨人才培养模式，合作编写教材。</w:t>
      </w:r>
    </w:p>
    <w:p>
      <w:pPr>
        <w:pStyle w:val="46"/>
        <w:spacing w:before="156" w:after="156"/>
      </w:pPr>
      <w:bookmarkStart w:id="70" w:name="_Toc2081"/>
      <w:r>
        <w:rPr>
          <w:rFonts w:hint="eastAsia"/>
        </w:rPr>
        <w:t>2.4  “1+X”证书试点制度</w:t>
      </w:r>
      <w:bookmarkEnd w:id="70"/>
    </w:p>
    <w:p>
      <w:pPr>
        <w:pStyle w:val="50"/>
      </w:pPr>
      <w:r>
        <w:rPr>
          <w:rFonts w:hint="eastAsia"/>
        </w:rPr>
        <w:t>学校正在积极为开展“1+X”证书教学做准备，2019年已经派出1名教师参加1+X证书制度培训。</w:t>
      </w:r>
    </w:p>
    <w:p>
      <w:pPr>
        <w:pStyle w:val="46"/>
        <w:spacing w:before="156" w:after="156"/>
      </w:pPr>
      <w:bookmarkStart w:id="71" w:name="_Toc14718"/>
      <w:r>
        <w:rPr>
          <w:rFonts w:hint="eastAsia"/>
        </w:rPr>
        <w:t>2.5  院校治理</w:t>
      </w:r>
      <w:bookmarkEnd w:id="71"/>
      <w:r>
        <w:rPr>
          <w:rFonts w:hint="eastAsia"/>
        </w:rPr>
        <w:t xml:space="preserve"> </w:t>
      </w:r>
    </w:p>
    <w:p>
      <w:pPr>
        <w:pStyle w:val="48"/>
        <w:spacing w:before="78" w:after="78"/>
      </w:pPr>
      <w:bookmarkStart w:id="72" w:name="_Toc16509"/>
      <w:r>
        <w:rPr>
          <w:rFonts w:hint="eastAsia"/>
        </w:rPr>
        <w:t>2.5.1  党的领导为教学改革提供坚强保障</w:t>
      </w:r>
      <w:bookmarkEnd w:id="72"/>
      <w:r>
        <w:rPr>
          <w:rFonts w:hint="eastAsia"/>
        </w:rPr>
        <w:t xml:space="preserve"> </w:t>
      </w:r>
    </w:p>
    <w:p>
      <w:pPr>
        <w:pStyle w:val="50"/>
      </w:pPr>
      <w:r>
        <w:rPr>
          <w:rFonts w:hint="eastAsia"/>
        </w:rPr>
        <w:t>根据习近平总书记在“不忘初心、牢记使命”主题教育工作会议上的重要讲话精神，学院充分发挥党委对学院的政治核心与保证监督作用，建立系部党政联席会议制度和交叉任职制度，着力培养党建学术“双带头人”。学院“五化”支部验收达标率75%，教师党支部书记“双带头人”的比例66.66%，为教学改革提供坚强保障。</w:t>
      </w:r>
    </w:p>
    <w:p>
      <w:pPr>
        <w:pStyle w:val="48"/>
        <w:spacing w:before="78" w:after="78"/>
      </w:pPr>
      <w:bookmarkStart w:id="73" w:name="_Toc30252"/>
      <w:r>
        <w:rPr>
          <w:rFonts w:hint="eastAsia"/>
        </w:rPr>
        <w:t>2.5.2  完善制度提升治理能力</w:t>
      </w:r>
      <w:bookmarkEnd w:id="73"/>
    </w:p>
    <w:p>
      <w:pPr>
        <w:pStyle w:val="50"/>
        <w:rPr>
          <w:highlight w:val="yellow"/>
        </w:rPr>
      </w:pPr>
      <w:r>
        <w:rPr>
          <w:rFonts w:hint="eastAsia"/>
        </w:rPr>
        <w:t>2018-2019年制订和完善学校治理的相关制度共15项，其中，2019年6项（见表2-1），完善1个学校治理机构，原创建办公室调整为质量管理办公室，在原有的重点项目管理工作上增加了教学质量诊断与改进的有关工作。</w:t>
      </w:r>
    </w:p>
    <w:p>
      <w:pPr>
        <w:spacing w:beforeLines="50" w:afterLines="50"/>
        <w:jc w:val="center"/>
        <w:rPr>
          <w:rFonts w:ascii="仿宋_GB2312" w:hAnsi="仿宋_GB2312" w:eastAsia="仿宋_GB2312" w:cs="仿宋_GB2312"/>
          <w:color w:val="000000"/>
          <w:sz w:val="28"/>
          <w:szCs w:val="28"/>
        </w:rPr>
      </w:pPr>
      <w:r>
        <w:rPr>
          <w:rFonts w:hint="eastAsia" w:ascii="黑体" w:hAnsi="黑体" w:eastAsia="黑体" w:cs="黑体"/>
          <w:b/>
          <w:bCs/>
          <w:color w:val="000000"/>
          <w:szCs w:val="21"/>
        </w:rPr>
        <w:t>表2-1  制订和完善学校治理的相关制度</w:t>
      </w:r>
    </w:p>
    <w:tbl>
      <w:tblPr>
        <w:tblStyle w:val="20"/>
        <w:tblW w:w="91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502"/>
        <w:gridCol w:w="2380"/>
        <w:gridCol w:w="1590"/>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365" w:type="dxa"/>
            <w:shd w:val="clear" w:color="auto" w:fill="D99594" w:themeFill="accent2" w:themeFillTint="99"/>
            <w:vAlign w:val="center"/>
          </w:tcPr>
          <w:p>
            <w:pPr>
              <w:pStyle w:val="50"/>
              <w:spacing w:line="400" w:lineRule="exact"/>
              <w:ind w:firstLine="0" w:firstLineChars="0"/>
              <w:jc w:val="left"/>
              <w:rPr>
                <w:rFonts w:ascii="黑体" w:hAnsi="黑体" w:eastAsia="黑体" w:cs="黑体"/>
                <w:sz w:val="21"/>
                <w:szCs w:val="21"/>
              </w:rPr>
            </w:pPr>
            <w:r>
              <w:rPr>
                <w:rFonts w:hint="eastAsia" w:ascii="黑体" w:hAnsi="黑体" w:eastAsia="黑体" w:cs="黑体"/>
                <w:sz w:val="21"/>
                <w:szCs w:val="21"/>
              </w:rPr>
              <w:t>分类</w:t>
            </w:r>
          </w:p>
        </w:tc>
        <w:tc>
          <w:tcPr>
            <w:tcW w:w="502" w:type="dxa"/>
            <w:shd w:val="clear" w:color="auto" w:fill="D99594" w:themeFill="accent2" w:themeFillTint="99"/>
            <w:vAlign w:val="center"/>
          </w:tcPr>
          <w:p>
            <w:pPr>
              <w:pStyle w:val="50"/>
              <w:spacing w:line="400" w:lineRule="exact"/>
              <w:ind w:firstLine="0" w:firstLineChars="0"/>
              <w:jc w:val="left"/>
              <w:rPr>
                <w:rFonts w:ascii="黑体" w:hAnsi="黑体" w:eastAsia="黑体" w:cs="黑体"/>
                <w:sz w:val="21"/>
                <w:szCs w:val="21"/>
              </w:rPr>
            </w:pPr>
            <w:r>
              <w:rPr>
                <w:rFonts w:hint="eastAsia" w:ascii="黑体" w:hAnsi="黑体" w:eastAsia="黑体" w:cs="黑体"/>
                <w:sz w:val="21"/>
                <w:szCs w:val="21"/>
              </w:rPr>
              <w:t>序号</w:t>
            </w:r>
          </w:p>
        </w:tc>
        <w:tc>
          <w:tcPr>
            <w:tcW w:w="2380" w:type="dxa"/>
            <w:shd w:val="clear" w:color="auto" w:fill="D99594" w:themeFill="accent2" w:themeFillTint="99"/>
            <w:vAlign w:val="center"/>
          </w:tcPr>
          <w:p>
            <w:pPr>
              <w:pStyle w:val="50"/>
              <w:spacing w:line="400" w:lineRule="exact"/>
              <w:ind w:firstLine="420"/>
              <w:rPr>
                <w:rFonts w:ascii="黑体" w:hAnsi="黑体" w:eastAsia="黑体" w:cs="黑体"/>
                <w:sz w:val="21"/>
                <w:szCs w:val="21"/>
              </w:rPr>
            </w:pPr>
            <w:r>
              <w:rPr>
                <w:rFonts w:hint="eastAsia" w:ascii="黑体" w:hAnsi="黑体" w:eastAsia="黑体" w:cs="黑体"/>
                <w:sz w:val="21"/>
                <w:szCs w:val="21"/>
              </w:rPr>
              <w:t>制度标题</w:t>
            </w:r>
          </w:p>
        </w:tc>
        <w:tc>
          <w:tcPr>
            <w:tcW w:w="1590" w:type="dxa"/>
            <w:shd w:val="clear" w:color="auto" w:fill="D99594" w:themeFill="accent2" w:themeFillTint="99"/>
            <w:vAlign w:val="center"/>
          </w:tcPr>
          <w:p>
            <w:pPr>
              <w:pStyle w:val="50"/>
              <w:spacing w:line="400" w:lineRule="exact"/>
              <w:ind w:firstLine="420"/>
              <w:rPr>
                <w:rFonts w:ascii="黑体" w:hAnsi="黑体" w:eastAsia="黑体" w:cs="黑体"/>
                <w:sz w:val="21"/>
                <w:szCs w:val="21"/>
              </w:rPr>
            </w:pPr>
            <w:r>
              <w:rPr>
                <w:rFonts w:hint="eastAsia" w:ascii="黑体" w:hAnsi="黑体" w:eastAsia="黑体" w:cs="黑体"/>
                <w:sz w:val="21"/>
                <w:szCs w:val="21"/>
              </w:rPr>
              <w:t>文  号</w:t>
            </w:r>
          </w:p>
        </w:tc>
        <w:tc>
          <w:tcPr>
            <w:tcW w:w="4304" w:type="dxa"/>
            <w:shd w:val="clear" w:color="auto" w:fill="D99594" w:themeFill="accent2" w:themeFillTint="99"/>
            <w:vAlign w:val="center"/>
          </w:tcPr>
          <w:p>
            <w:pPr>
              <w:pStyle w:val="50"/>
              <w:spacing w:line="400" w:lineRule="exact"/>
              <w:ind w:firstLine="420"/>
              <w:rPr>
                <w:rFonts w:ascii="黑体" w:hAnsi="黑体" w:eastAsia="黑体" w:cs="黑体"/>
                <w:sz w:val="21"/>
                <w:szCs w:val="21"/>
              </w:rPr>
            </w:pPr>
            <w:r>
              <w:rPr>
                <w:rFonts w:hint="eastAsia" w:ascii="黑体" w:hAnsi="黑体" w:eastAsia="黑体" w:cs="黑体"/>
                <w:sz w:val="21"/>
                <w:szCs w:val="21"/>
              </w:rPr>
              <w:t>工作目标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restart"/>
            <w:shd w:val="clear" w:color="auto" w:fill="FDE9D9" w:themeFill="accent6" w:themeFillTint="33"/>
            <w:vAlign w:val="center"/>
          </w:tcPr>
          <w:p>
            <w:pPr>
              <w:pStyle w:val="50"/>
              <w:spacing w:line="400" w:lineRule="exact"/>
              <w:ind w:firstLine="0" w:firstLineChars="0"/>
              <w:jc w:val="center"/>
              <w:rPr>
                <w:rFonts w:ascii="楷体" w:hAnsi="楷体" w:eastAsia="楷体" w:cs="楷体"/>
                <w:sz w:val="21"/>
                <w:szCs w:val="21"/>
              </w:rPr>
            </w:pPr>
            <w:r>
              <w:rPr>
                <w:rFonts w:hint="eastAsia" w:ascii="楷体" w:hAnsi="楷体" w:eastAsia="楷体" w:cs="楷体"/>
                <w:sz w:val="21"/>
                <w:szCs w:val="21"/>
              </w:rPr>
              <w:t>教学管理</w:t>
            </w: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关于进一步加强师德师风建设的决定</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【2018】22号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落实教育部、省教育厅关于加强师德师风建设的决定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2</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关于教学质量等级评定办法</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【2018】124号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明确教学质量评定指标，进一步提升教育教学质量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3</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印发“双一流”建设管理办法的通知</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【2019】45号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贯彻落实教育部、省教育厅相关要求和规定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4</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印发“双一流”建设专项资金管理办法通知</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【2019】46号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贯彻落实教育部、省教育厅相关要求和规定，严格管控“双一流”建设专项资金的使用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5</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关于师德师风负面清单和失范行为处理办法</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【2019】83号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进一步规范和依规依纪处理教师失范行为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restart"/>
            <w:shd w:val="clear" w:color="auto" w:fill="FDE9D9" w:themeFill="accent6" w:themeFillTint="33"/>
          </w:tcPr>
          <w:p>
            <w:pPr>
              <w:pStyle w:val="50"/>
              <w:spacing w:line="400" w:lineRule="exact"/>
              <w:ind w:firstLine="0" w:firstLineChars="0"/>
              <w:rPr>
                <w:rFonts w:ascii="楷体" w:hAnsi="楷体" w:eastAsia="楷体" w:cs="楷体"/>
                <w:sz w:val="21"/>
                <w:szCs w:val="21"/>
              </w:rPr>
            </w:pPr>
          </w:p>
          <w:p>
            <w:pPr>
              <w:pStyle w:val="50"/>
              <w:spacing w:line="400" w:lineRule="exact"/>
              <w:ind w:firstLine="0" w:firstLineChars="0"/>
              <w:rPr>
                <w:rFonts w:ascii="楷体" w:hAnsi="楷体" w:eastAsia="楷体" w:cs="楷体"/>
                <w:sz w:val="21"/>
                <w:szCs w:val="21"/>
              </w:rPr>
            </w:pP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学生管理</w:t>
            </w: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6</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关于学生品德操行评定与实施办法</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【2018】25号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进一步加强学生管理，科学评定学生品德操行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7</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关于进一步加强毕业生就业工作的若干意见</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【2018】123</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规范毕业生就业工作流程，规范毕业生就业工作管理行为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8</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家庭经济困难学生认定实施办法</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【2019】68号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进一步完善家庭经济困难学生认定工作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9</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关于进一步加强毕业生就业工作的若干规定</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【2019】98号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进一步明确和处理在毕业生就业工作中的违规行为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restart"/>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p>
            <w:pPr>
              <w:pStyle w:val="50"/>
              <w:spacing w:line="400" w:lineRule="exact"/>
              <w:ind w:firstLine="0" w:firstLineChars="0"/>
              <w:jc w:val="left"/>
              <w:rPr>
                <w:rFonts w:ascii="楷体" w:hAnsi="楷体" w:eastAsia="楷体" w:cs="楷体"/>
                <w:sz w:val="21"/>
                <w:szCs w:val="21"/>
              </w:rPr>
            </w:pPr>
          </w:p>
          <w:p>
            <w:pPr>
              <w:pStyle w:val="50"/>
              <w:spacing w:line="400" w:lineRule="exact"/>
              <w:ind w:firstLine="0" w:firstLineChars="0"/>
              <w:jc w:val="left"/>
              <w:rPr>
                <w:rFonts w:ascii="楷体" w:hAnsi="楷体" w:eastAsia="楷体" w:cs="楷体"/>
                <w:sz w:val="21"/>
                <w:szCs w:val="21"/>
              </w:rPr>
            </w:pPr>
          </w:p>
          <w:p>
            <w:pPr>
              <w:pStyle w:val="50"/>
              <w:spacing w:line="400" w:lineRule="exact"/>
              <w:ind w:firstLine="0" w:firstLineChars="0"/>
              <w:jc w:val="left"/>
              <w:rPr>
                <w:rFonts w:ascii="楷体" w:hAnsi="楷体" w:eastAsia="楷体" w:cs="楷体"/>
                <w:sz w:val="21"/>
                <w:szCs w:val="21"/>
              </w:rPr>
            </w:pPr>
          </w:p>
          <w:p>
            <w:pPr>
              <w:pStyle w:val="50"/>
              <w:spacing w:line="400" w:lineRule="exact"/>
              <w:ind w:firstLine="0" w:firstLineChars="0"/>
              <w:jc w:val="left"/>
              <w:rPr>
                <w:rFonts w:ascii="楷体" w:hAnsi="楷体" w:eastAsia="楷体" w:cs="楷体"/>
                <w:sz w:val="21"/>
                <w:szCs w:val="21"/>
              </w:rPr>
            </w:pPr>
          </w:p>
          <w:p>
            <w:pPr>
              <w:pStyle w:val="50"/>
              <w:spacing w:line="400" w:lineRule="exact"/>
              <w:ind w:firstLine="0" w:firstLineChars="0"/>
              <w:jc w:val="left"/>
              <w:rPr>
                <w:rFonts w:ascii="楷体" w:hAnsi="楷体" w:eastAsia="楷体" w:cs="楷体"/>
                <w:sz w:val="21"/>
                <w:szCs w:val="21"/>
              </w:rPr>
            </w:pPr>
          </w:p>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其他</w:t>
            </w: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10</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统计工作管理制度</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【2018】13号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落实国家统计管理机关和省市教育行政管理部门的要求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11</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关于修订教职工考核办法的原则意见</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【2018】21号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改革调整教职工年度考核系数和考核办法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12</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关于上报公文的若干管理规定</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【2018】44号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进一步规范上报公文的行政行为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13</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院务会会议制度</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【2019】108号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进一步落实民办教育促进法和学院章程规定，明确规范院务会职责和院长职务职权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14</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行政公文处理规定</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【2019】109号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进一步明确和规范行政公文处理流程和纪律要求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 w:type="dxa"/>
            <w:vMerge w:val="continue"/>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p>
        </w:tc>
        <w:tc>
          <w:tcPr>
            <w:tcW w:w="502" w:type="dxa"/>
            <w:shd w:val="clear" w:color="auto" w:fill="FDE9D9" w:themeFill="accent6" w:themeFillTint="33"/>
          </w:tcPr>
          <w:p>
            <w:pPr>
              <w:pStyle w:val="50"/>
              <w:spacing w:line="400" w:lineRule="exact"/>
              <w:ind w:firstLine="0" w:firstLineChars="0"/>
              <w:jc w:val="left"/>
              <w:rPr>
                <w:rFonts w:ascii="楷体" w:hAnsi="楷体" w:eastAsia="楷体" w:cs="楷体"/>
                <w:sz w:val="21"/>
                <w:szCs w:val="21"/>
              </w:rPr>
            </w:pPr>
            <w:r>
              <w:rPr>
                <w:rFonts w:hint="eastAsia" w:ascii="楷体" w:hAnsi="楷体" w:eastAsia="楷体" w:cs="楷体"/>
                <w:sz w:val="21"/>
                <w:szCs w:val="21"/>
              </w:rPr>
              <w:t>15</w:t>
            </w:r>
          </w:p>
        </w:tc>
        <w:tc>
          <w:tcPr>
            <w:tcW w:w="238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关于教研室主任管理办法</w:t>
            </w:r>
          </w:p>
        </w:tc>
        <w:tc>
          <w:tcPr>
            <w:tcW w:w="1590"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湘都院</w:t>
            </w:r>
          </w:p>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【2019】113号</w:t>
            </w:r>
          </w:p>
        </w:tc>
        <w:tc>
          <w:tcPr>
            <w:tcW w:w="4304" w:type="dxa"/>
            <w:shd w:val="clear" w:color="auto" w:fill="FDE9D9" w:themeFill="accent6" w:themeFillTint="33"/>
          </w:tcPr>
          <w:p>
            <w:pPr>
              <w:pStyle w:val="50"/>
              <w:spacing w:line="400" w:lineRule="exact"/>
              <w:ind w:firstLine="0" w:firstLineChars="0"/>
              <w:rPr>
                <w:rFonts w:ascii="楷体" w:hAnsi="楷体" w:eastAsia="楷体" w:cs="楷体"/>
                <w:sz w:val="21"/>
                <w:szCs w:val="21"/>
              </w:rPr>
            </w:pPr>
            <w:r>
              <w:rPr>
                <w:rFonts w:hint="eastAsia" w:ascii="楷体" w:hAnsi="楷体" w:eastAsia="楷体" w:cs="楷体"/>
                <w:sz w:val="21"/>
                <w:szCs w:val="21"/>
              </w:rPr>
              <w:t>加强和规范教研室主任职责和管理行为</w:t>
            </w:r>
          </w:p>
        </w:tc>
      </w:tr>
    </w:tbl>
    <w:p>
      <w:pPr>
        <w:spacing w:beforeLines="50"/>
        <w:ind w:right="210" w:firstLine="420" w:firstLineChars="200"/>
        <w:jc w:val="right"/>
        <w:rPr>
          <w:rFonts w:ascii="楷体" w:hAnsi="楷体" w:eastAsia="楷体" w:cs="仿宋_GB2312"/>
          <w:szCs w:val="21"/>
        </w:rPr>
      </w:pPr>
      <w:r>
        <w:rPr>
          <w:rFonts w:hint="eastAsia" w:ascii="楷体" w:hAnsi="楷体" w:eastAsia="楷体" w:cs="仿宋_GB2312"/>
          <w:szCs w:val="21"/>
        </w:rPr>
        <w:t>数据来源：湖南都市职业学院行政办公室</w:t>
      </w:r>
    </w:p>
    <w:p>
      <w:pPr>
        <w:pStyle w:val="48"/>
        <w:spacing w:before="78" w:after="78"/>
      </w:pPr>
      <w:bookmarkStart w:id="74" w:name="_Toc24903"/>
      <w:r>
        <w:rPr>
          <w:rFonts w:hint="eastAsia"/>
        </w:rPr>
        <w:t>2.5.3  两个关键领域进行了改革</w:t>
      </w:r>
      <w:bookmarkEnd w:id="74"/>
    </w:p>
    <w:p>
      <w:pPr>
        <w:pStyle w:val="50"/>
      </w:pPr>
      <w:r>
        <w:rPr>
          <w:rFonts w:hint="eastAsia"/>
        </w:rPr>
        <w:t>2019年，学校对教学质量、学生管理2个关键领域进行了改革，</w:t>
      </w:r>
      <w:r>
        <w:rPr>
          <w:rFonts w:hint="eastAsia" w:ascii="仿宋" w:hAnsi="仿宋" w:eastAsia="仿宋" w:cs="仿宋"/>
        </w:rPr>
        <w:t>出台《教学质量等级评定办法》《学生品德操行评定与实施办法》等改革举措，突出立德树人的育人根本任务。</w:t>
      </w:r>
    </w:p>
    <w:p>
      <w:pPr>
        <w:pStyle w:val="46"/>
        <w:spacing w:before="156" w:after="156"/>
      </w:pPr>
      <w:bookmarkStart w:id="75" w:name="_Toc30448"/>
      <w:r>
        <w:rPr>
          <w:rFonts w:hint="eastAsia"/>
        </w:rPr>
        <w:t>2.6  教师队伍</w:t>
      </w:r>
      <w:bookmarkEnd w:id="75"/>
    </w:p>
    <w:p>
      <w:pPr>
        <w:pStyle w:val="48"/>
        <w:spacing w:before="78" w:after="78"/>
      </w:pPr>
      <w:bookmarkStart w:id="76" w:name="_Toc32445"/>
      <w:r>
        <w:rPr>
          <w:rFonts w:hint="eastAsia"/>
        </w:rPr>
        <w:t>2.6.1  教师队伍结构进一步优化</w:t>
      </w:r>
      <w:bookmarkEnd w:id="76"/>
    </w:p>
    <w:p>
      <w:pPr>
        <w:pStyle w:val="50"/>
      </w:pPr>
      <w:r>
        <w:rPr>
          <w:rFonts w:hint="eastAsia"/>
        </w:rPr>
        <w:t>2019年，专任教师481人，其中，具有研究生学历教师225人，占专任教师的46.78%，高级职称教师110人，占专任教师的22.86%，“双师型”教师占专任教师的40.33%，兼职教师88人。教师队伍结构进一步优化。</w:t>
      </w:r>
    </w:p>
    <w:p>
      <w:pPr>
        <w:pStyle w:val="48"/>
        <w:spacing w:before="78" w:after="78"/>
      </w:pPr>
      <w:bookmarkStart w:id="77" w:name="_Toc25579"/>
      <w:r>
        <w:rPr>
          <w:rFonts w:hint="eastAsia"/>
        </w:rPr>
        <w:t>2.6.2 “双师型”教师培养初见成效</w:t>
      </w:r>
      <w:bookmarkEnd w:id="77"/>
    </w:p>
    <w:p>
      <w:pPr>
        <w:pStyle w:val="50"/>
        <w:rPr>
          <w:color w:val="0000FF"/>
        </w:rPr>
      </w:pPr>
      <w:r>
        <w:rPr>
          <w:rFonts w:hint="eastAsia"/>
        </w:rPr>
        <w:t>2019年，累计校企共建“双师型”教师培训基地3个，有23位教师到企业定岗实习，其中，有6位教师到企业顶岗实践累计30天以上。专任教师年培训量达7055人日，其中，参加国家、省、市专业技术和教学能力培训的教师达153人次，校本课程开发、教学能力、师德师风、专业技能专题培训696人次，参训教师完成调研报告168份，推动了19门课程改革，23名教师在各级各类竞赛中获奖。</w:t>
      </w:r>
    </w:p>
    <w:p>
      <w:pPr>
        <w:pStyle w:val="48"/>
        <w:spacing w:before="78" w:after="78"/>
      </w:pPr>
      <w:bookmarkStart w:id="78" w:name="_Toc31187"/>
      <w:r>
        <w:rPr>
          <w:rFonts w:hint="eastAsia"/>
        </w:rPr>
        <w:t>2.6.3  依托名师工作室建设名师大师队伍</w:t>
      </w:r>
      <w:bookmarkEnd w:id="78"/>
    </w:p>
    <w:p>
      <w:pPr>
        <w:pStyle w:val="50"/>
      </w:pPr>
      <w:r>
        <w:rPr>
          <w:rFonts w:hint="eastAsia"/>
        </w:rPr>
        <w:t>重点加大高层次人才引进力度，累计引进、培养高层次人才5人，行业、企业专业群带头人13名，产业导师30名，引进博士、副高以上职称教师12名。依托贺伦英印刷包装技能名师工作室，与园区印刷包装知名企业深度合作，建设名师大师队伍，培养青年教师。</w:t>
      </w:r>
    </w:p>
    <w:p>
      <w:pPr>
        <w:pStyle w:val="48"/>
        <w:spacing w:before="78" w:after="78"/>
      </w:pPr>
      <w:bookmarkStart w:id="79" w:name="_Toc30264"/>
      <w:r>
        <w:rPr>
          <w:rFonts w:hint="eastAsia"/>
        </w:rPr>
        <w:t>2.6.4  校企合作共建教学创新团队</w:t>
      </w:r>
      <w:bookmarkEnd w:id="79"/>
    </w:p>
    <w:p>
      <w:pPr>
        <w:pStyle w:val="50"/>
        <w:rPr>
          <w:highlight w:val="yellow"/>
        </w:rPr>
      </w:pPr>
      <w:r>
        <w:rPr>
          <w:rFonts w:hint="eastAsia"/>
        </w:rPr>
        <w:t>鼓励与企业合作建设教学创新团队，教学团队中有企业技术专家13名</w:t>
      </w:r>
      <w:r>
        <w:rPr>
          <w:rFonts w:hint="eastAsia"/>
          <w:color w:val="0000FF"/>
        </w:rPr>
        <w:t>，</w:t>
      </w:r>
      <w:r>
        <w:rPr>
          <w:rFonts w:hint="eastAsia"/>
        </w:rPr>
        <w:t>建立了轨道交通、建筑工程、经济管理、印刷包装、汽车机电、计算机、思想政治7个教学团队。团队教师通过教学改革研讨、集体备课、公开课、培训、交流等方式，提高教学水平。2019年，团队教师共在建校级以上教学科研项目26项，发表教学科研论文46篇，编写教材3部，获得校级以上奖励5项。</w:t>
      </w:r>
    </w:p>
    <w:tbl>
      <w:tblPr>
        <w:tblStyle w:val="20"/>
        <w:tblW w:w="9180" w:type="dxa"/>
        <w:jc w:val="center"/>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jc w:val="center"/>
        </w:trPr>
        <w:tc>
          <w:tcPr>
            <w:tcW w:w="9180" w:type="dxa"/>
            <w:shd w:val="clear" w:color="auto" w:fill="D99594" w:themeFill="accent2" w:themeFillTint="99"/>
          </w:tcPr>
          <w:p>
            <w:pPr>
              <w:pStyle w:val="48"/>
              <w:spacing w:before="78" w:after="78"/>
              <w:ind w:firstLine="0" w:firstLineChars="0"/>
            </w:pPr>
            <w:bookmarkStart w:id="80" w:name="_Toc23393"/>
            <w:r>
              <w:rPr>
                <w:rFonts w:hint="eastAsia"/>
              </w:rPr>
              <w:t>【案例5】  思政教学团队公开课</w:t>
            </w:r>
            <w:bookmarkEnd w:id="80"/>
          </w:p>
        </w:tc>
      </w:tr>
      <w:tr>
        <w:tblPrEx>
          <w:tblLayout w:type="fixed"/>
          <w:tblCellMar>
            <w:top w:w="0" w:type="dxa"/>
            <w:left w:w="108" w:type="dxa"/>
            <w:bottom w:w="0" w:type="dxa"/>
            <w:right w:w="108" w:type="dxa"/>
          </w:tblCellMar>
        </w:tblPrEx>
        <w:trPr>
          <w:trHeight w:val="3221" w:hRule="atLeast"/>
          <w:jc w:val="center"/>
        </w:trPr>
        <w:tc>
          <w:tcPr>
            <w:tcW w:w="9180" w:type="dxa"/>
            <w:shd w:val="clear" w:color="auto" w:fill="FDE9D9" w:themeFill="accent6" w:themeFillTint="33"/>
            <w:vAlign w:val="center"/>
          </w:tcPr>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2019年11月21日，思政教学团队举行了一次公开课讲课活动，由团队成员孔治明老师主讲，团队老师和经管系幼教1901学生参与</w:t>
            </w:r>
            <w:r>
              <w:rPr>
                <w:rFonts w:hint="eastAsia" w:ascii="楷体" w:hAnsi="楷体" w:eastAsia="楷体" w:cs="楷体"/>
                <w:bCs/>
                <w:color w:val="000000"/>
                <w:sz w:val="24"/>
                <w:lang w:eastAsia="zh-CN"/>
              </w:rPr>
              <w:t>（见图</w:t>
            </w:r>
            <w:r>
              <w:rPr>
                <w:rFonts w:hint="eastAsia" w:ascii="楷体" w:hAnsi="楷体" w:eastAsia="楷体" w:cs="楷体"/>
                <w:bCs/>
                <w:color w:val="000000"/>
                <w:sz w:val="24"/>
                <w:lang w:val="en-US" w:eastAsia="zh-CN"/>
              </w:rPr>
              <w:t>2-5）</w:t>
            </w:r>
            <w:r>
              <w:rPr>
                <w:rFonts w:hint="eastAsia" w:ascii="楷体" w:hAnsi="楷体" w:eastAsia="楷体" w:cs="楷体"/>
                <w:bCs/>
                <w:color w:val="000000"/>
                <w:sz w:val="24"/>
              </w:rPr>
              <w:t>。孔老师在教学中运用强化理论的叙事性，理论联系实际把深刻的道理用生动的故事讲出来。课堂上，孔老师采用启发式教学方法，运用图文、动画、视频结合板书多种媒体手段，将抽象的枯燥的内容讲得生动有趣，教学过程中和学生互动交流，增强了教学的生动性和感染力。</w:t>
            </w:r>
          </w:p>
          <w:p>
            <w:pPr>
              <w:spacing w:line="520" w:lineRule="exact"/>
              <w:ind w:firstLine="480" w:firstLineChars="200"/>
              <w:jc w:val="left"/>
              <w:rPr>
                <w:rFonts w:ascii="楷体" w:hAnsi="楷体" w:eastAsia="楷体" w:cs="楷体"/>
                <w:bCs/>
                <w:color w:val="000000"/>
                <w:sz w:val="24"/>
              </w:rPr>
            </w:pPr>
            <w:r>
              <w:rPr>
                <w:rFonts w:hint="eastAsia" w:ascii="楷体" w:hAnsi="楷体" w:eastAsia="楷体" w:cs="楷体"/>
                <w:bCs/>
                <w:color w:val="000000"/>
                <w:sz w:val="24"/>
              </w:rPr>
              <w:t>这次公开课活动，孔老师精心准备，给团队老师一次学习提高了的机会，师生们都很有收获。</w:t>
            </w:r>
          </w:p>
        </w:tc>
      </w:tr>
    </w:tbl>
    <w:p>
      <w:pPr>
        <w:pStyle w:val="50"/>
        <w:spacing w:line="240" w:lineRule="auto"/>
        <w:ind w:firstLine="0" w:firstLineChars="0"/>
      </w:pPr>
      <w:r>
        <w:rPr>
          <w:rFonts w:hint="eastAsia"/>
        </w:rPr>
        <w:drawing>
          <wp:inline distT="0" distB="0" distL="114300" distR="114300">
            <wp:extent cx="5689600" cy="4267200"/>
            <wp:effectExtent l="0" t="0" r="6350" b="0"/>
            <wp:docPr id="9" name="图片 9" descr="思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思政1"/>
                    <pic:cNvPicPr>
                      <a:picLocks noChangeAspect="1"/>
                    </pic:cNvPicPr>
                  </pic:nvPicPr>
                  <pic:blipFill>
                    <a:blip r:embed="rId20" cstate="print"/>
                    <a:stretch>
                      <a:fillRect/>
                    </a:stretch>
                  </pic:blipFill>
                  <pic:spPr>
                    <a:xfrm>
                      <a:off x="0" y="0"/>
                      <a:ext cx="5689600" cy="4267200"/>
                    </a:xfrm>
                    <a:prstGeom prst="rect">
                      <a:avLst/>
                    </a:prstGeom>
                  </pic:spPr>
                </pic:pic>
              </a:graphicData>
            </a:graphic>
          </wp:inline>
        </w:drawing>
      </w:r>
    </w:p>
    <w:p>
      <w:pPr>
        <w:spacing w:beforeLines="100"/>
        <w:ind w:firstLine="400" w:firstLineChars="200"/>
        <w:jc w:val="center"/>
        <w:outlineLvl w:val="2"/>
        <w:rPr>
          <w:rFonts w:ascii="黑体" w:hAnsi="黑体" w:eastAsia="黑体" w:cs="仿宋_GB2312"/>
          <w:bCs/>
          <w:color w:val="00B050"/>
          <w:sz w:val="20"/>
          <w:szCs w:val="20"/>
        </w:rPr>
      </w:pPr>
      <w:r>
        <w:rPr>
          <w:rFonts w:hint="eastAsia" w:ascii="黑体" w:hAnsi="黑体" w:eastAsia="黑体" w:cs="仿宋_GB2312"/>
          <w:bCs/>
          <w:color w:val="00B050"/>
          <w:sz w:val="20"/>
          <w:szCs w:val="20"/>
        </w:rPr>
        <w:t>■图2-5  孔老师公开课</w:t>
      </w:r>
    </w:p>
    <w:p>
      <w:pPr>
        <w:pStyle w:val="46"/>
        <w:spacing w:before="156" w:after="156"/>
      </w:pPr>
      <w:bookmarkStart w:id="81" w:name="_Toc7886"/>
      <w:r>
        <w:rPr>
          <w:rFonts w:hint="eastAsia"/>
        </w:rPr>
        <w:t>2.7  教材教法改革</w:t>
      </w:r>
      <w:bookmarkEnd w:id="81"/>
    </w:p>
    <w:p>
      <w:pPr>
        <w:pStyle w:val="48"/>
        <w:spacing w:before="78" w:after="78"/>
      </w:pPr>
      <w:bookmarkStart w:id="82" w:name="_Toc13820"/>
      <w:r>
        <w:rPr>
          <w:rFonts w:hint="eastAsia"/>
        </w:rPr>
        <w:t>2.7.1  教学标准建设紧跟产业需求</w:t>
      </w:r>
      <w:bookmarkEnd w:id="82"/>
    </w:p>
    <w:p>
      <w:pPr>
        <w:pStyle w:val="50"/>
      </w:pPr>
      <w:bookmarkStart w:id="83" w:name="_Toc533208731"/>
      <w:r>
        <w:rPr>
          <w:rFonts w:hint="eastAsia"/>
        </w:rPr>
        <w:t>根据信息技术、汽车等产业升级需求，优化课程结构，更新教学内容，促进了教学内容与职业岗位要求对接。2019年，新开发12个专业院级技能抽查标准与题库，累计共开发339项教学标准。</w:t>
      </w:r>
    </w:p>
    <w:bookmarkEnd w:id="83"/>
    <w:p>
      <w:pPr>
        <w:pStyle w:val="48"/>
        <w:spacing w:before="78" w:after="78"/>
      </w:pPr>
      <w:bookmarkStart w:id="84" w:name="_Toc23938"/>
      <w:r>
        <w:rPr>
          <w:rFonts w:hint="eastAsia"/>
        </w:rPr>
        <w:t>2.7.2  适应产业需求的模块化教学</w:t>
      </w:r>
      <w:bookmarkEnd w:id="84"/>
    </w:p>
    <w:p>
      <w:pPr>
        <w:pStyle w:val="50"/>
      </w:pPr>
      <w:r>
        <w:rPr>
          <w:rFonts w:hint="eastAsia"/>
        </w:rPr>
        <w:t>及时更新课程教学模块，适应产业需求。2019年空中乘务、城市轨道交通运营管理、建筑工程技术、印刷媒体技术、包装工程技术等29门课程实施了模块化教学。</w:t>
      </w:r>
    </w:p>
    <w:p>
      <w:pPr>
        <w:pStyle w:val="48"/>
        <w:spacing w:before="78" w:after="78"/>
      </w:pPr>
      <w:bookmarkStart w:id="85" w:name="_Toc11123"/>
    </w:p>
    <w:p>
      <w:pPr>
        <w:pStyle w:val="48"/>
        <w:spacing w:before="78" w:after="78"/>
      </w:pPr>
      <w:r>
        <w:rPr>
          <w:rFonts w:hint="eastAsia"/>
        </w:rPr>
        <w:t>2.7.3  信息技术与教育教学进一步融合</w:t>
      </w:r>
      <w:bookmarkEnd w:id="85"/>
    </w:p>
    <w:p>
      <w:pPr>
        <w:pStyle w:val="50"/>
      </w:pPr>
      <w:r>
        <w:rPr>
          <w:rFonts w:hint="eastAsia"/>
        </w:rPr>
        <w:t>积极推进教育信息化建设，学院全体师生利用“职教新干线”网络学习平台开展课堂教学、毕业设计和实习实训顶岗实习，实现信息技术与教育教学的深度融合。建设校级以上数字化教学资源库1个，数字化资源的总容量320G，其中，原创性数字化资源的总容量280G，当年智慧课堂教学课时占总课时的6%。</w:t>
      </w:r>
    </w:p>
    <w:p>
      <w:pPr>
        <w:pStyle w:val="48"/>
        <w:spacing w:before="78" w:after="78"/>
      </w:pPr>
      <w:bookmarkStart w:id="86" w:name="_Toc4361"/>
      <w:r>
        <w:rPr>
          <w:rFonts w:hint="eastAsia"/>
        </w:rPr>
        <w:t>2.7.4  校企合作开发教材</w:t>
      </w:r>
      <w:bookmarkEnd w:id="86"/>
    </w:p>
    <w:p>
      <w:pPr>
        <w:pStyle w:val="50"/>
      </w:pPr>
      <w:r>
        <w:rPr>
          <w:rFonts w:hint="eastAsia"/>
        </w:rPr>
        <w:t>学校出台相关政策，采取奖励、经费资助等措施鼓励教师开展教材改革，与企业合作开发教材，创新教材形式，2019年校企合作开发教材《金属包装》《数字出版综合实训》《印刷技术专业实训》共3本。</w:t>
      </w:r>
    </w:p>
    <w:p>
      <w:pPr>
        <w:pStyle w:val="44"/>
        <w:spacing w:after="312"/>
      </w:pPr>
      <w:bookmarkStart w:id="87" w:name="_Toc23356"/>
      <w:r>
        <w:rPr>
          <w:rFonts w:hint="eastAsia"/>
        </w:rPr>
        <w:t>3  政策保障</w:t>
      </w:r>
      <w:bookmarkEnd w:id="87"/>
    </w:p>
    <w:p>
      <w:pPr>
        <w:pStyle w:val="46"/>
        <w:spacing w:before="156" w:after="156"/>
      </w:pPr>
      <w:bookmarkStart w:id="88" w:name="_Toc4142"/>
      <w:r>
        <w:rPr>
          <w:rFonts w:hint="eastAsia"/>
        </w:rPr>
        <w:t>3.1  政策创新</w:t>
      </w:r>
      <w:bookmarkEnd w:id="88"/>
    </w:p>
    <w:p>
      <w:pPr>
        <w:pStyle w:val="48"/>
        <w:spacing w:before="78" w:after="78"/>
      </w:pPr>
      <w:bookmarkStart w:id="89" w:name="_Toc26979"/>
      <w:r>
        <w:rPr>
          <w:rFonts w:hint="eastAsia"/>
        </w:rPr>
        <w:t>3.1.1  政策落实</w:t>
      </w:r>
      <w:bookmarkEnd w:id="89"/>
    </w:p>
    <w:p>
      <w:pPr>
        <w:ind w:firstLine="560" w:firstLineChars="200"/>
        <w:rPr>
          <w:rFonts w:ascii="仿宋" w:hAnsi="仿宋" w:cs="仿宋"/>
          <w:sz w:val="28"/>
          <w:szCs w:val="28"/>
        </w:rPr>
      </w:pPr>
      <w:r>
        <w:rPr>
          <w:rFonts w:hint="eastAsia" w:ascii="仿宋" w:hAnsi="仿宋" w:eastAsia="仿宋" w:cs="仿宋"/>
          <w:sz w:val="28"/>
          <w:szCs w:val="28"/>
        </w:rPr>
        <w:t>依照《国家职业教育改革实施方案》（职教20条）和《湖南省职业教育改革实施方案》，学院出台了系列改革制度，推进我院教学改革。在立德树人、专业群建设、教学团队建设、“三教改革”、传承和培育</w:t>
      </w:r>
      <w:r>
        <w:rPr>
          <w:rFonts w:ascii="仿宋" w:hAnsi="仿宋" w:eastAsia="仿宋" w:cs="仿宋"/>
          <w:sz w:val="28"/>
          <w:szCs w:val="28"/>
        </w:rPr>
        <w:t>工匠精神</w:t>
      </w:r>
      <w:r>
        <w:rPr>
          <w:rFonts w:hint="eastAsia" w:ascii="仿宋" w:hAnsi="仿宋" w:eastAsia="仿宋" w:cs="仿宋"/>
          <w:sz w:val="28"/>
          <w:szCs w:val="28"/>
        </w:rPr>
        <w:t>、订单式培养、质量保障等方面取得了好成绩，并积极探索校级现代学徒制试点、“1+X”证书试点校企双元育人新模式。</w:t>
      </w:r>
    </w:p>
    <w:p>
      <w:pPr>
        <w:pStyle w:val="48"/>
        <w:spacing w:before="78" w:after="78"/>
      </w:pPr>
      <w:bookmarkStart w:id="90" w:name="_Toc7577"/>
      <w:r>
        <w:rPr>
          <w:rFonts w:hint="eastAsia"/>
        </w:rPr>
        <w:t>3.1.2  改革举措</w:t>
      </w:r>
      <w:bookmarkEnd w:id="90"/>
    </w:p>
    <w:p>
      <w:pPr>
        <w:ind w:firstLine="560" w:firstLineChars="200"/>
        <w:rPr>
          <w:rFonts w:ascii="仿宋" w:hAnsi="仿宋" w:eastAsia="仿宋" w:cs="仿宋"/>
          <w:sz w:val="28"/>
          <w:szCs w:val="28"/>
        </w:rPr>
      </w:pPr>
      <w:r>
        <w:rPr>
          <w:rFonts w:hint="eastAsia" w:ascii="仿宋" w:hAnsi="仿宋" w:eastAsia="仿宋" w:cs="仿宋"/>
          <w:sz w:val="28"/>
          <w:szCs w:val="28"/>
        </w:rPr>
        <w:t>学校出台试行《教学质量等级评定办法》的改革举措，对教师教学能力和教学水平的评价分两轮进行，第一轮，分常规教学检查（占20%），学生评价（占20%），督导日常评价（占20%），系部评价（占40%）等四个部分，第二轮，在第一轮被系部建议为A级的教师进入专家组进行定性评价，最终进入A级（优秀）行列，由学院统一颁发奖金和荣誉证书。《办法》的出台实施，显著提供了教师的教学质量和教学水平。</w:t>
      </w:r>
    </w:p>
    <w:p>
      <w:pPr>
        <w:ind w:firstLine="560" w:firstLineChars="200"/>
        <w:rPr>
          <w:rFonts w:ascii="仿宋" w:hAnsi="仿宋" w:eastAsia="仿宋" w:cs="仿宋"/>
          <w:color w:val="0000FF"/>
          <w:sz w:val="28"/>
          <w:szCs w:val="28"/>
        </w:rPr>
      </w:pPr>
      <w:r>
        <w:rPr>
          <w:rFonts w:hint="eastAsia" w:ascii="仿宋" w:hAnsi="仿宋" w:eastAsia="仿宋" w:cs="仿宋"/>
          <w:sz w:val="28"/>
          <w:szCs w:val="28"/>
        </w:rPr>
        <w:t>学院紧密结合习近平总书记在全国高校思想政治工作会议上的讲话精神，着力进行学生管理工作改革创新，制订了《学生品德操行评定实施方案（试行）》，就评定目的、原则、内容、办法、组织领导、保障机制等七个方面进行了具体规定，充分体现了科学性、全面性、规范性、强制性和可操作性，评价结果以《学生思想品德学期综合考评表》和《学生思想品德学期考核鉴定表》形式纳入学生档案。</w:t>
      </w:r>
    </w:p>
    <w:p>
      <w:pPr>
        <w:pStyle w:val="48"/>
        <w:spacing w:before="78" w:after="78"/>
      </w:pPr>
      <w:bookmarkStart w:id="91" w:name="_Toc2472"/>
      <w:r>
        <w:rPr>
          <w:rFonts w:hint="eastAsia"/>
        </w:rPr>
        <w:t>3.1.3  发展环境</w:t>
      </w:r>
      <w:bookmarkEnd w:id="91"/>
    </w:p>
    <w:p>
      <w:pPr>
        <w:ind w:firstLine="560" w:firstLineChars="200"/>
        <w:rPr>
          <w:rFonts w:ascii="仿宋" w:hAnsi="仿宋" w:eastAsia="仿宋" w:cs="仿宋"/>
          <w:sz w:val="28"/>
          <w:szCs w:val="28"/>
        </w:rPr>
      </w:pPr>
      <w:r>
        <w:rPr>
          <w:rFonts w:hint="eastAsia" w:ascii="仿宋" w:hAnsi="仿宋" w:eastAsia="仿宋" w:cs="仿宋"/>
          <w:sz w:val="28"/>
          <w:szCs w:val="28"/>
        </w:rPr>
        <w:t>学院发展得到了长沙市、长沙县和黄花镇政府的大力支持。长沙县政府在学院周边预留土地160亩用于学院扩建；黄花镇政府到学院现场办公，解决用水用电等生活问题，确保生活无忧；长沙县消防部门、黄花镇政府相关人员亲临学院对安全工作检查指导，协助学院解决安全隐患问题。</w:t>
      </w:r>
    </w:p>
    <w:p>
      <w:pPr>
        <w:pStyle w:val="46"/>
        <w:spacing w:before="156" w:after="156"/>
      </w:pPr>
      <w:bookmarkStart w:id="92" w:name="_Toc4820"/>
      <w:r>
        <w:rPr>
          <w:rFonts w:hint="eastAsia"/>
        </w:rPr>
        <w:t>3.2  专项引导</w:t>
      </w:r>
      <w:bookmarkEnd w:id="92"/>
    </w:p>
    <w:p>
      <w:pPr>
        <w:pStyle w:val="48"/>
        <w:spacing w:before="78" w:after="78"/>
      </w:pPr>
      <w:bookmarkStart w:id="93" w:name="_Toc6395"/>
      <w:r>
        <w:rPr>
          <w:rFonts w:hint="eastAsia"/>
        </w:rPr>
        <w:t>3.2.1  积极培育国家职教项目</w:t>
      </w:r>
      <w:bookmarkEnd w:id="93"/>
    </w:p>
    <w:p>
      <w:pPr>
        <w:widowControl/>
        <w:ind w:firstLine="560" w:firstLineChars="200"/>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学院积极开展专业群建设，已有专业群6个，其中印刷包装专业群被立项为湖南省高等职业教育一流特色专业群，建筑工程专业群被立项为长沙市重点特色专业群。学院投入资金300万元进行专业群建设，力争将印刷包装专业群立项为国家级专业群。</w:t>
      </w:r>
    </w:p>
    <w:p>
      <w:pPr>
        <w:pStyle w:val="48"/>
        <w:spacing w:before="78" w:after="78"/>
      </w:pPr>
      <w:bookmarkStart w:id="94" w:name="_Toc17521"/>
    </w:p>
    <w:p>
      <w:pPr>
        <w:pStyle w:val="48"/>
        <w:spacing w:before="78" w:after="78"/>
      </w:pPr>
      <w:r>
        <w:rPr>
          <w:rFonts w:hint="eastAsia"/>
        </w:rPr>
        <w:t>3.2.2  持续推进省示范性（骨干）高职学校建设</w:t>
      </w:r>
      <w:bookmarkEnd w:id="94"/>
    </w:p>
    <w:p>
      <w:pPr>
        <w:widowControl/>
        <w:ind w:firstLine="560" w:firstLineChars="200"/>
        <w:jc w:val="left"/>
        <w:rPr>
          <w:rFonts w:ascii="仿宋" w:hAnsi="仿宋" w:eastAsia="仿宋" w:cs="仿宋"/>
          <w:color w:val="000000"/>
          <w:kern w:val="0"/>
          <w:sz w:val="28"/>
          <w:szCs w:val="28"/>
        </w:rPr>
      </w:pPr>
      <w:r>
        <w:rPr>
          <w:rFonts w:hint="eastAsia" w:ascii="仿宋" w:hAnsi="仿宋" w:eastAsia="仿宋" w:cs="仿宋"/>
          <w:color w:val="000000"/>
          <w:kern w:val="0"/>
          <w:sz w:val="28"/>
          <w:szCs w:val="28"/>
        </w:rPr>
        <w:t>2018年学院通过湖南省示范性（骨干）高等职业院校验收认定。2019年，学院持续推进高水平高职学校建设，完成了建筑工程技术重点特色专业，建筑力学精品网络共享课程，贺伦英印刷包装技能名师工作室，轨道运营管理教学团队4项长沙市建设项目，省教育厅科研项目6项，省教改项目2项，省规划教改项目1项，院级教学科研项目11项。此外学院还加强了基础设施建设，新建了一个400米标准跑到运动场，新增教学楼3栋共16197平方米，新建机房2间、形体房1间，校企合作实训基地项目1个，水电改造项目。项目建设总投入达3502万元，其中，省财政投入267.5万元，自筹3234.5万元。</w:t>
      </w:r>
    </w:p>
    <w:p>
      <w:pPr>
        <w:pStyle w:val="48"/>
        <w:spacing w:before="78" w:after="78"/>
      </w:pPr>
      <w:bookmarkStart w:id="95" w:name="_Toc24445"/>
      <w:r>
        <w:rPr>
          <w:rFonts w:hint="eastAsia"/>
        </w:rPr>
        <w:t>3.2.3  围绕主导产业着力建设三大高水平专业群</w:t>
      </w:r>
      <w:bookmarkEnd w:id="95"/>
    </w:p>
    <w:p>
      <w:pPr>
        <w:pStyle w:val="50"/>
      </w:pPr>
      <w:r>
        <w:rPr>
          <w:rFonts w:hint="eastAsia"/>
        </w:rPr>
        <w:t>围绕“两区一园”主导产业，着力建设印刷包装、航空与高铁服务、建筑工程三大高水平专业建设群。</w:t>
      </w:r>
    </w:p>
    <w:p>
      <w:pPr>
        <w:pStyle w:val="50"/>
      </w:pPr>
      <w:r>
        <w:rPr>
          <w:rFonts w:hint="eastAsia"/>
        </w:rPr>
        <w:t>学院设立了专业群建设领导组和工作组，制定了专门的项目资金管理、专业群建设资金保障、高水平人才引进、校企共建专业群等制度，从人、财、物、管理等多方面保障高水平专业群建设。</w:t>
      </w:r>
    </w:p>
    <w:p>
      <w:pPr>
        <w:pStyle w:val="50"/>
      </w:pPr>
      <w:r>
        <w:rPr>
          <w:rFonts w:hint="eastAsia"/>
        </w:rPr>
        <w:t>累计投入资金近300万，引进高水平人才12人，引进和培养27位“双师素质”教师，聘请了30多位企业技术人员来校任教，有7位青年老师晋升副教授，3名教师成为中西部国内访问学者，建设7个教学团队；校企共建实习基地42个，完成了600个工位的实训设备建设；优化了人才培养方案，构建了强化能力培养的实践教学体系；修订了专业群各专业实训课程标准，开发了相关岗位职业标准和学生专业技能考核题库，建设网络共享精品课程33门，出版教材6部等。</w:t>
      </w:r>
    </w:p>
    <w:p>
      <w:pPr>
        <w:pStyle w:val="50"/>
      </w:pPr>
      <w:r>
        <w:rPr>
          <w:rFonts w:hint="eastAsia"/>
        </w:rPr>
        <w:t>通过建设，印刷包装专业群与印刷包装产业链的产前、产中、产后产业完整对接，航空与高铁服务专业群与航空高铁产业链的服务产业对接，建筑工程专业群与“远大住工”装配式建筑产业对接。</w:t>
      </w:r>
    </w:p>
    <w:p>
      <w:pPr>
        <w:pStyle w:val="46"/>
        <w:spacing w:before="156" w:after="156"/>
      </w:pPr>
      <w:bookmarkStart w:id="96" w:name="_Toc28805"/>
      <w:r>
        <w:rPr>
          <w:rFonts w:hint="eastAsia"/>
        </w:rPr>
        <w:t>3.3  质量保障</w:t>
      </w:r>
      <w:bookmarkEnd w:id="96"/>
    </w:p>
    <w:p>
      <w:pPr>
        <w:pStyle w:val="48"/>
        <w:spacing w:before="78" w:after="78"/>
      </w:pPr>
      <w:bookmarkStart w:id="97" w:name="_Toc10134"/>
      <w:r>
        <w:rPr>
          <w:rFonts w:hint="eastAsia"/>
        </w:rPr>
        <w:t>3.3.1  全面推进教学工作诊改</w:t>
      </w:r>
      <w:bookmarkEnd w:id="97"/>
    </w:p>
    <w:p>
      <w:pPr>
        <w:pStyle w:val="50"/>
        <w:rPr>
          <w:rFonts w:ascii="仿宋" w:hAnsi="仿宋" w:eastAsia="仿宋" w:cs="仿宋"/>
          <w:kern w:val="0"/>
        </w:rPr>
      </w:pPr>
      <w:r>
        <w:rPr>
          <w:rFonts w:hint="eastAsia" w:ascii="仿宋" w:hAnsi="仿宋" w:eastAsia="仿宋" w:cs="仿宋"/>
          <w:kern w:val="0"/>
        </w:rPr>
        <w:t>2019年，累计制定教学工作诊改制度6个，教学工作诊改标准6个，组织开展全院性质量诊断与改进活动2次，各系开展质量诊断与改进活动4次，教研室按月召开质量诊断与改进分析会，提出质量诊断与改进意见106条，学生全年平均到课率95.08%，所有课堂教学满意度高于96%。</w:t>
      </w:r>
    </w:p>
    <w:p>
      <w:pPr>
        <w:pStyle w:val="48"/>
        <w:spacing w:before="78" w:after="78"/>
      </w:pPr>
      <w:bookmarkStart w:id="98" w:name="_Toc20948"/>
      <w:r>
        <w:rPr>
          <w:rFonts w:hint="eastAsia"/>
        </w:rPr>
        <w:t>3.3.2  不断完善两项抽查制度</w:t>
      </w:r>
      <w:bookmarkEnd w:id="98"/>
    </w:p>
    <w:p>
      <w:pPr>
        <w:pStyle w:val="50"/>
        <w:rPr>
          <w:rFonts w:ascii="仿宋" w:hAnsi="仿宋" w:eastAsia="仿宋" w:cs="仿宋"/>
          <w:kern w:val="0"/>
        </w:rPr>
      </w:pPr>
      <w:r>
        <w:rPr>
          <w:rFonts w:hint="eastAsia" w:ascii="仿宋" w:hAnsi="仿宋" w:eastAsia="仿宋" w:cs="仿宋"/>
          <w:kern w:val="0"/>
        </w:rPr>
        <w:t>2019年，累计制定城市轨道交通运营管理专业、空中乘务专业、建筑工程技术专业等专业技能考核校级标准共12个，累计制定空中乘务、建筑设计、包装艺术设计等专业学生毕业设计校级考核标准35个。2018年，工程造价专业参加省级专业技能考核，考核结果为92%，本院各专业学生院级技能考核平均合格率85%。2019年应用英语和包装工程技术专业学生参加省级专业技能考核，考核结果合格，本院各专业学生院级技能考核平均合格率90%。</w:t>
      </w:r>
    </w:p>
    <w:p>
      <w:pPr>
        <w:pStyle w:val="48"/>
        <w:spacing w:before="78" w:after="78"/>
      </w:pPr>
      <w:bookmarkStart w:id="99" w:name="_Toc31483"/>
      <w:r>
        <w:rPr>
          <w:rFonts w:hint="eastAsia"/>
        </w:rPr>
        <w:t>3.3.3  建立建全教学管理制度</w:t>
      </w:r>
      <w:bookmarkEnd w:id="99"/>
    </w:p>
    <w:p>
      <w:pPr>
        <w:pStyle w:val="50"/>
      </w:pPr>
      <w:r>
        <w:rPr>
          <w:rFonts w:hint="eastAsia" w:ascii="仿宋" w:hAnsi="仿宋" w:eastAsia="仿宋" w:cs="仿宋"/>
          <w:kern w:val="0"/>
        </w:rPr>
        <w:t>到2019年，学院累计制定教学与学生管理制度数86项，重大教学管理制度创新1项。</w:t>
      </w:r>
      <w:r>
        <w:rPr>
          <w:rFonts w:hint="eastAsia"/>
        </w:rPr>
        <w:t>创新性实施课堂教学质量等级评价制度，并实行末位淘汰；学院以课堂为中心，建立教学全过程考核评价制度，评教评辅常态化；实施学生学业预警制度。2019年，学生到课率达95.08%，连续三年大幅提升（见图3-1）。</w:t>
      </w:r>
    </w:p>
    <w:p>
      <w:pPr>
        <w:spacing w:beforeLines="25" w:afterLines="25"/>
        <w:ind w:firstLine="562" w:firstLineChars="200"/>
        <w:jc w:val="left"/>
        <w:outlineLvl w:val="2"/>
        <w:rPr>
          <w:rFonts w:ascii="楷体" w:hAnsi="楷体" w:eastAsia="楷体" w:cs="楷体"/>
          <w:b/>
          <w:bCs/>
          <w:color w:val="000000"/>
          <w:sz w:val="28"/>
          <w:szCs w:val="28"/>
          <w:highlight w:val="yellow"/>
        </w:rPr>
      </w:pPr>
      <w:r>
        <w:rPr>
          <w:rFonts w:ascii="楷体" w:hAnsi="楷体" w:eastAsia="楷体" w:cs="楷体"/>
          <w:b/>
          <w:bCs/>
          <w:color w:val="000000"/>
          <w:sz w:val="28"/>
          <w:szCs w:val="28"/>
        </w:rPr>
        <w:drawing>
          <wp:inline distT="0" distB="0" distL="0" distR="0">
            <wp:extent cx="4572000" cy="2743200"/>
            <wp:effectExtent l="19050" t="0" r="19050" b="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beforeLines="50" w:afterLines="25"/>
        <w:ind w:firstLine="400" w:firstLineChars="200"/>
        <w:jc w:val="center"/>
        <w:outlineLvl w:val="2"/>
        <w:rPr>
          <w:rFonts w:ascii="黑体" w:hAnsi="黑体" w:eastAsia="黑体" w:cs="仿宋_GB2312"/>
          <w:bCs/>
          <w:color w:val="00B050"/>
          <w:sz w:val="20"/>
          <w:szCs w:val="20"/>
        </w:rPr>
      </w:pPr>
      <w:r>
        <w:rPr>
          <w:rFonts w:hint="eastAsia" w:ascii="黑体" w:hAnsi="黑体" w:eastAsia="黑体" w:cs="仿宋_GB2312"/>
          <w:bCs/>
          <w:color w:val="00B050"/>
          <w:sz w:val="20"/>
          <w:szCs w:val="20"/>
        </w:rPr>
        <w:t>■图3-1  2015—2019年学校平均到课率</w:t>
      </w:r>
    </w:p>
    <w:p>
      <w:pPr>
        <w:spacing w:afterLines="50"/>
        <w:ind w:firstLine="420" w:firstLineChars="200"/>
        <w:jc w:val="right"/>
        <w:outlineLvl w:val="2"/>
        <w:rPr>
          <w:rFonts w:ascii="楷体" w:hAnsi="楷体" w:eastAsia="楷体" w:cs="仿宋_GB2312"/>
          <w:szCs w:val="21"/>
        </w:rPr>
      </w:pPr>
      <w:r>
        <w:rPr>
          <w:rFonts w:hint="eastAsia" w:ascii="楷体" w:hAnsi="楷体" w:eastAsia="楷体" w:cs="仿宋_GB2312"/>
          <w:szCs w:val="21"/>
        </w:rPr>
        <w:t>数据来源：湖南都市职业学院督导处</w:t>
      </w:r>
    </w:p>
    <w:p>
      <w:pPr>
        <w:pStyle w:val="46"/>
        <w:spacing w:before="156" w:after="156"/>
      </w:pPr>
      <w:bookmarkStart w:id="100" w:name="_Toc1364"/>
      <w:r>
        <w:rPr>
          <w:rFonts w:hint="eastAsia"/>
        </w:rPr>
        <w:t>3.4  经费保障</w:t>
      </w:r>
      <w:bookmarkEnd w:id="100"/>
    </w:p>
    <w:p>
      <w:pPr>
        <w:pStyle w:val="48"/>
        <w:spacing w:before="78" w:after="78"/>
      </w:pPr>
      <w:bookmarkStart w:id="101" w:name="_Toc7309"/>
      <w:r>
        <w:rPr>
          <w:rFonts w:hint="eastAsia"/>
        </w:rPr>
        <w:t>3.4.1  生均财政拨款</w:t>
      </w:r>
      <w:bookmarkEnd w:id="101"/>
    </w:p>
    <w:p>
      <w:pPr>
        <w:pStyle w:val="50"/>
      </w:pPr>
      <w:r>
        <w:rPr>
          <w:rFonts w:hint="eastAsia"/>
        </w:rPr>
        <w:t>我院为民办学院，无生均拨款。2019年，政府下拨“双一流”建设经费140万元，专业群建设经费40万元，地方高校改革发展中央专项资金3.6万元及其他补贴资金84.95等。</w:t>
      </w:r>
    </w:p>
    <w:p>
      <w:pPr>
        <w:pStyle w:val="48"/>
        <w:spacing w:before="78" w:after="78"/>
      </w:pPr>
      <w:bookmarkStart w:id="102" w:name="_Toc7426"/>
      <w:r>
        <w:rPr>
          <w:rFonts w:hint="eastAsia"/>
        </w:rPr>
        <w:t>3.4.2  生均学费</w:t>
      </w:r>
      <w:bookmarkEnd w:id="102"/>
    </w:p>
    <w:p>
      <w:pPr>
        <w:pStyle w:val="50"/>
      </w:pPr>
      <w:r>
        <w:t>201</w:t>
      </w:r>
      <w:r>
        <w:rPr>
          <w:rFonts w:hint="eastAsia"/>
        </w:rPr>
        <w:t>9</w:t>
      </w:r>
      <w:r>
        <w:t>年，</w:t>
      </w:r>
      <w:r>
        <w:rPr>
          <w:rFonts w:hint="eastAsia"/>
        </w:rPr>
        <w:t>学院学费收入总额16197.77万元，生均学费12521.40元，支出总额为15893.86万元，收入全部用于学院办学（见表3-1）。</w:t>
      </w:r>
    </w:p>
    <w:p>
      <w:pPr>
        <w:rPr>
          <w:rFonts w:hint="eastAsia" w:ascii="黑体" w:hAnsi="黑体" w:eastAsia="黑体" w:cs="黑体"/>
          <w:b/>
          <w:bCs/>
          <w:color w:val="000000"/>
          <w:szCs w:val="21"/>
        </w:rPr>
      </w:pPr>
      <w:r>
        <w:rPr>
          <w:rFonts w:hint="eastAsia" w:ascii="黑体" w:hAnsi="黑体" w:eastAsia="黑体" w:cs="黑体"/>
          <w:b/>
          <w:bCs/>
          <w:color w:val="000000"/>
          <w:szCs w:val="21"/>
        </w:rPr>
        <w:br w:type="page"/>
      </w:r>
    </w:p>
    <w:p>
      <w:pPr>
        <w:spacing w:afterLines="50" w:line="560" w:lineRule="exact"/>
        <w:ind w:firstLine="422" w:firstLineChars="200"/>
        <w:jc w:val="center"/>
        <w:rPr>
          <w:rFonts w:ascii="黑体" w:hAnsi="黑体" w:eastAsia="黑体" w:cs="黑体"/>
          <w:b/>
          <w:bCs/>
          <w:color w:val="000000"/>
          <w:szCs w:val="21"/>
        </w:rPr>
      </w:pPr>
      <w:r>
        <w:rPr>
          <w:rFonts w:hint="eastAsia" w:ascii="黑体" w:hAnsi="黑体" w:eastAsia="黑体" w:cs="黑体"/>
          <w:b/>
          <w:bCs/>
          <w:color w:val="000000"/>
          <w:szCs w:val="21"/>
        </w:rPr>
        <w:t>表3-1  学院教学相关经费支出一览表</w:t>
      </w:r>
    </w:p>
    <w:tbl>
      <w:tblPr>
        <w:tblStyle w:val="20"/>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项目</w:t>
            </w:r>
          </w:p>
        </w:tc>
        <w:tc>
          <w:tcPr>
            <w:tcW w:w="4365" w:type="dxa"/>
            <w:shd w:val="clear" w:color="auto" w:fill="D99594" w:themeFill="accent2" w:themeFillTint="99"/>
            <w:vAlign w:val="center"/>
          </w:tcPr>
          <w:p>
            <w:pPr>
              <w:jc w:val="center"/>
              <w:rPr>
                <w:rFonts w:ascii="黑体" w:hAnsi="黑体" w:eastAsia="黑体"/>
                <w:b/>
              </w:rPr>
            </w:pPr>
            <w:r>
              <w:rPr>
                <w:rFonts w:hint="eastAsia" w:ascii="黑体" w:hAnsi="黑体" w:eastAsia="黑体"/>
                <w:b/>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基础建设</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3411.52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设备采购</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991.41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日常教学</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1004.8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教学改革与研究</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337.98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师资建设</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1004.69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图书采购</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其他</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9064.96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合计</w:t>
            </w:r>
          </w:p>
        </w:tc>
        <w:tc>
          <w:tcPr>
            <w:tcW w:w="4365" w:type="dxa"/>
            <w:shd w:val="clear" w:color="auto" w:fill="FDE9D9" w:themeFill="accent6" w:themeFillTint="33"/>
            <w:vAlign w:val="center"/>
          </w:tcPr>
          <w:p>
            <w:pPr>
              <w:jc w:val="center"/>
              <w:rPr>
                <w:rFonts w:ascii="楷体" w:hAnsi="楷体" w:eastAsia="楷体"/>
              </w:rPr>
            </w:pPr>
            <w:r>
              <w:rPr>
                <w:rFonts w:hint="eastAsia" w:ascii="楷体" w:hAnsi="楷体" w:eastAsia="楷体"/>
              </w:rPr>
              <w:t>15893.86</w:t>
            </w:r>
          </w:p>
        </w:tc>
      </w:tr>
    </w:tbl>
    <w:p>
      <w:pPr>
        <w:pStyle w:val="50"/>
        <w:ind w:firstLine="420"/>
        <w:jc w:val="right"/>
        <w:rPr>
          <w:rFonts w:ascii="Times New Roman" w:hAnsi="Times New Roman"/>
          <w:kern w:val="0"/>
          <w:sz w:val="24"/>
          <w:szCs w:val="24"/>
        </w:rPr>
      </w:pPr>
      <w:bookmarkStart w:id="103" w:name="_Toc29603"/>
      <w:r>
        <w:rPr>
          <w:rFonts w:hint="eastAsia" w:ascii="楷体" w:hAnsi="楷体" w:eastAsia="楷体"/>
          <w:color w:val="auto"/>
          <w:sz w:val="21"/>
          <w:szCs w:val="21"/>
        </w:rPr>
        <w:t>数据来源：湖南都市职业学院人才培养工作状态数据采集与管理系统</w:t>
      </w:r>
      <w:bookmarkEnd w:id="103"/>
    </w:p>
    <w:p>
      <w:pPr>
        <w:pStyle w:val="48"/>
        <w:spacing w:before="78" w:after="78"/>
      </w:pPr>
      <w:bookmarkStart w:id="104" w:name="_Toc20086"/>
      <w:r>
        <w:rPr>
          <w:rFonts w:hint="eastAsia"/>
        </w:rPr>
        <w:t>3.4.3  举办者投入</w:t>
      </w:r>
      <w:bookmarkEnd w:id="104"/>
    </w:p>
    <w:p>
      <w:pPr>
        <w:pStyle w:val="50"/>
      </w:pPr>
      <w:r>
        <w:rPr>
          <w:rFonts w:hint="eastAsia"/>
        </w:rPr>
        <w:t>学院举办者高度重视学院的特色发展与内涵建设，举办者开办总投入12760.00万元，每年滚动发展资金全部用于教学，对学院的重大改革发展事项不遗余力、鼎力支持。</w:t>
      </w:r>
    </w:p>
    <w:p>
      <w:pPr>
        <w:pStyle w:val="48"/>
        <w:spacing w:before="78" w:after="78"/>
      </w:pPr>
      <w:bookmarkStart w:id="105" w:name="_Toc21013"/>
      <w:bookmarkStart w:id="106" w:name="_Toc243"/>
      <w:r>
        <w:rPr>
          <w:rFonts w:hint="eastAsia"/>
        </w:rPr>
        <w:t>3.4.4  绩效评价</w:t>
      </w:r>
      <w:bookmarkEnd w:id="105"/>
      <w:bookmarkEnd w:id="106"/>
    </w:p>
    <w:p>
      <w:pPr>
        <w:pStyle w:val="50"/>
      </w:pPr>
      <w:bookmarkStart w:id="107" w:name="_Toc15506"/>
      <w:r>
        <w:rPr>
          <w:rFonts w:hint="eastAsia"/>
        </w:rPr>
        <w:t>2019年，长沙市财政局组织专家对我院“双一流建设项目”和“民办教育发展专项资金”共2个项目进行了绩效评价，评价结果合格。</w:t>
      </w:r>
    </w:p>
    <w:bookmarkEnd w:id="107"/>
    <w:p>
      <w:pPr>
        <w:pStyle w:val="44"/>
        <w:spacing w:after="312"/>
      </w:pPr>
      <w:bookmarkStart w:id="108" w:name="_Toc11763"/>
      <w:r>
        <w:rPr>
          <w:rFonts w:hint="eastAsia"/>
        </w:rPr>
        <w:t>4  国际合作</w:t>
      </w:r>
      <w:bookmarkEnd w:id="108"/>
    </w:p>
    <w:p>
      <w:pPr>
        <w:pStyle w:val="46"/>
        <w:spacing w:before="156" w:after="156"/>
      </w:pPr>
      <w:bookmarkStart w:id="109" w:name="_Toc6678"/>
      <w:r>
        <w:rPr>
          <w:rFonts w:hint="eastAsia"/>
        </w:rPr>
        <w:t>4.1  来湘留学</w:t>
      </w:r>
      <w:bookmarkEnd w:id="109"/>
    </w:p>
    <w:p>
      <w:pPr>
        <w:pStyle w:val="50"/>
      </w:pPr>
      <w:r>
        <w:rPr>
          <w:rFonts w:hint="eastAsia"/>
        </w:rPr>
        <w:t>目前，学院设有国际交流中心，负责国际合作相关教育服务，学院虽然暂未开展留学生教育服务，正在积极筹备，例如，招聘相关管理人员和教师，制定相关管理制度，研究留学生培养模式，待条件成熟就开展留学生教育服务。</w:t>
      </w:r>
    </w:p>
    <w:p>
      <w:pPr>
        <w:pStyle w:val="46"/>
        <w:spacing w:before="156" w:after="156"/>
      </w:pPr>
      <w:bookmarkStart w:id="110" w:name="_Toc31402"/>
      <w:r>
        <w:rPr>
          <w:rFonts w:hint="eastAsia"/>
        </w:rPr>
        <w:t>4.2  境外办学</w:t>
      </w:r>
      <w:bookmarkEnd w:id="110"/>
    </w:p>
    <w:p>
      <w:pPr>
        <w:pStyle w:val="50"/>
      </w:pPr>
      <w:r>
        <w:rPr>
          <w:rFonts w:hint="eastAsia"/>
        </w:rPr>
        <w:t>目前，学院虽然暂时没有国（境）外办学点，今后加强境外合作办学，待条件成熟就尝试开办（境）外办学点。</w:t>
      </w:r>
    </w:p>
    <w:p>
      <w:pPr>
        <w:pStyle w:val="46"/>
        <w:spacing w:before="156" w:after="156"/>
      </w:pPr>
      <w:bookmarkStart w:id="111" w:name="_Toc15717"/>
      <w:r>
        <w:rPr>
          <w:rFonts w:hint="eastAsia"/>
        </w:rPr>
        <w:t>4.3  服务“一带一路”倡议</w:t>
      </w:r>
      <w:bookmarkEnd w:id="111"/>
    </w:p>
    <w:p>
      <w:pPr>
        <w:pStyle w:val="50"/>
      </w:pPr>
      <w:r>
        <w:rPr>
          <w:rFonts w:hint="eastAsia"/>
        </w:rPr>
        <w:t>学院持续开展与国外院校的校际交流与合作。2019年，与韩国世翰大学进行交流活动一次，赴国（境）外指导和开展培训的教师达39人日，接待国（境）外教师来校学习交流12人日，在校生服务“走出去”企业国（境）外实习时间750人日 ，1名教师在日本美罗斯学校担任特聘教授。在中日职业教育联盟举办的全国高等职业院校日语技能竞赛中，我院学生获得团体特等奖1项，个人三等奖和优秀奖各1项，3位老师获得优秀指导教师奖。</w:t>
      </w:r>
    </w:p>
    <w:p>
      <w:pPr>
        <w:pStyle w:val="46"/>
        <w:spacing w:before="156" w:after="156"/>
      </w:pPr>
      <w:bookmarkStart w:id="112" w:name="_Toc3458"/>
      <w:r>
        <w:rPr>
          <w:rFonts w:hint="eastAsia"/>
        </w:rPr>
        <w:t>4.4  服务湖南“走出去”战略</w:t>
      </w:r>
      <w:bookmarkEnd w:id="112"/>
    </w:p>
    <w:p>
      <w:pPr>
        <w:pStyle w:val="50"/>
      </w:pPr>
      <w:r>
        <w:rPr>
          <w:rFonts w:hint="eastAsia"/>
        </w:rPr>
        <w:t>学院周边是金沙利彩印、三一集团、远大空调、长丰猎豹、LG电子、通用模塑、易通科技、黄花国际机场等国际国内知名企业组成的新兴现代名优企业群，我校发挥三大专业群对接区域产业的优势，2019年，学院在“走出去”湘企就业的毕业生57人，为“走出去”湘企培训员工数135人次，为“走出去”湘企提供技术支持49项，为“湘品”出海培训推广销售人员数71人次。</w:t>
      </w:r>
    </w:p>
    <w:p>
      <w:pPr>
        <w:pStyle w:val="44"/>
        <w:spacing w:after="312"/>
      </w:pPr>
      <w:bookmarkStart w:id="113" w:name="_Toc17199"/>
      <w:r>
        <w:rPr>
          <w:rFonts w:hint="eastAsia"/>
        </w:rPr>
        <w:t>5  服务贡献</w:t>
      </w:r>
      <w:bookmarkEnd w:id="113"/>
    </w:p>
    <w:p>
      <w:pPr>
        <w:pStyle w:val="46"/>
        <w:spacing w:before="156" w:after="156"/>
      </w:pPr>
      <w:bookmarkStart w:id="114" w:name="_Toc9039"/>
      <w:r>
        <w:rPr>
          <w:rFonts w:hint="eastAsia"/>
        </w:rPr>
        <w:t>5.1  落实高职扩招任务</w:t>
      </w:r>
      <w:bookmarkEnd w:id="114"/>
    </w:p>
    <w:p>
      <w:pPr>
        <w:pStyle w:val="48"/>
        <w:spacing w:before="78" w:after="78"/>
      </w:pPr>
      <w:bookmarkStart w:id="115" w:name="_Toc26091"/>
      <w:r>
        <w:rPr>
          <w:rFonts w:hint="eastAsia"/>
        </w:rPr>
        <w:t>5.1.1  规模结构</w:t>
      </w:r>
      <w:bookmarkEnd w:id="115"/>
    </w:p>
    <w:p>
      <w:pPr>
        <w:pStyle w:val="50"/>
      </w:pPr>
      <w:r>
        <w:rPr>
          <w:rFonts w:hint="eastAsia"/>
        </w:rPr>
        <w:t>由于规模有限，本院今年没有进行普高三年制和五年制大专学生扩招。为了贯彻落实《教育部第六部门关于印发&lt;高职扩招专项工作实施方案&gt;的通知》和《教育部办公厅关于做好2019年高职扩招专项考试招生工作的通知》精神，学院进行了退役军人高职扩招专项考试，目前扩招录取结果尚未公布。</w:t>
      </w:r>
    </w:p>
    <w:p>
      <w:pPr>
        <w:pStyle w:val="48"/>
        <w:spacing w:before="78" w:after="78"/>
      </w:pPr>
      <w:bookmarkStart w:id="116" w:name="_Toc468"/>
      <w:r>
        <w:rPr>
          <w:rFonts w:hint="eastAsia"/>
        </w:rPr>
        <w:t>5.1.2  确保“质量型”扩招</w:t>
      </w:r>
      <w:bookmarkEnd w:id="116"/>
    </w:p>
    <w:p>
      <w:pPr>
        <w:pStyle w:val="50"/>
      </w:pPr>
      <w:r>
        <w:rPr>
          <w:rFonts w:hint="eastAsia"/>
        </w:rPr>
        <w:t>为确保退役军人扩招和培养质量，制定了学院招生考试办法，同时，为了保证教学质量，制定了适合退役军人使用的6个专业人才培养方案，并配备了12个专兼职教师。</w:t>
      </w:r>
    </w:p>
    <w:p>
      <w:pPr>
        <w:pStyle w:val="46"/>
        <w:spacing w:before="156" w:after="156"/>
      </w:pPr>
      <w:bookmarkStart w:id="117" w:name="_Toc7374"/>
      <w:r>
        <w:rPr>
          <w:rFonts w:hint="eastAsia"/>
        </w:rPr>
        <w:t>5.2  开展高质量职业培训</w:t>
      </w:r>
      <w:bookmarkEnd w:id="117"/>
    </w:p>
    <w:p>
      <w:pPr>
        <w:pStyle w:val="48"/>
        <w:spacing w:before="78" w:after="78"/>
      </w:pPr>
      <w:bookmarkStart w:id="118" w:name="_Toc29165"/>
      <w:r>
        <w:rPr>
          <w:rFonts w:hint="eastAsia"/>
        </w:rPr>
        <w:t>5.2.1  职业培训能力逐步提高</w:t>
      </w:r>
      <w:bookmarkEnd w:id="118"/>
    </w:p>
    <w:p>
      <w:pPr>
        <w:pStyle w:val="50"/>
      </w:pPr>
      <w:r>
        <w:rPr>
          <w:rFonts w:hint="eastAsia"/>
        </w:rPr>
        <w:t>2019年，学院开发重点领域典型培训项目1项，实现零的突破。2018年校企合作共建高水平培训基地2项，同时承担学历教育和培训任务的“双岗”教师占专业课教师比例41%，2019年校企合作共建高水平培训基地3项，同时承担学历教育和培训任务的“双岗”教师占专业课教师比例60%。学院职业培训能力逐步提高。</w:t>
      </w:r>
    </w:p>
    <w:p>
      <w:pPr>
        <w:pStyle w:val="48"/>
        <w:spacing w:before="78" w:after="78"/>
      </w:pPr>
      <w:bookmarkStart w:id="119" w:name="_Toc27101"/>
      <w:r>
        <w:rPr>
          <w:rFonts w:hint="eastAsia"/>
        </w:rPr>
        <w:t>5.2.2  扩大培训规模</w:t>
      </w:r>
      <w:bookmarkEnd w:id="119"/>
    </w:p>
    <w:p>
      <w:pPr>
        <w:pStyle w:val="50"/>
      </w:pPr>
      <w:r>
        <w:rPr>
          <w:rFonts w:hint="eastAsia"/>
        </w:rPr>
        <w:t>2018年，学院开展高质量职业培训总人数1911人，2019年，2892人。培训规模不断扩大。</w:t>
      </w:r>
    </w:p>
    <w:p>
      <w:pPr>
        <w:pStyle w:val="46"/>
        <w:spacing w:before="156" w:after="156"/>
      </w:pPr>
      <w:bookmarkStart w:id="120" w:name="_Toc8151"/>
      <w:r>
        <w:rPr>
          <w:rFonts w:hint="eastAsia"/>
        </w:rPr>
        <w:t>5.3  服务国家战略</w:t>
      </w:r>
      <w:bookmarkEnd w:id="120"/>
    </w:p>
    <w:p>
      <w:pPr>
        <w:pStyle w:val="48"/>
        <w:spacing w:before="78" w:after="78"/>
      </w:pPr>
      <w:bookmarkStart w:id="121" w:name="_Toc22911"/>
      <w:r>
        <w:rPr>
          <w:rFonts w:hint="eastAsia"/>
        </w:rPr>
        <w:t>5.3.1  服务脱贫攻坚</w:t>
      </w:r>
      <w:bookmarkEnd w:id="121"/>
    </w:p>
    <w:p>
      <w:pPr>
        <w:pStyle w:val="50"/>
      </w:pPr>
      <w:r>
        <w:rPr>
          <w:rFonts w:hint="eastAsia"/>
        </w:rPr>
        <w:t>2019年，学院有来自贫困地区的在校学生182人，其中建档立卡贫困学生304人，到贫困地区就业的毕业生92人，学院为贫群地区群众开展培训技能达2123人次，部分受训学员返乡就业创业实现脱贫。</w:t>
      </w:r>
    </w:p>
    <w:p>
      <w:pPr>
        <w:pStyle w:val="48"/>
        <w:spacing w:before="78" w:after="78"/>
      </w:pPr>
      <w:bookmarkStart w:id="122" w:name="_Toc15090"/>
      <w:r>
        <w:rPr>
          <w:rFonts w:hint="eastAsia"/>
        </w:rPr>
        <w:t>5.3.2  服务乡村振兴</w:t>
      </w:r>
      <w:bookmarkEnd w:id="122"/>
    </w:p>
    <w:p>
      <w:pPr>
        <w:pStyle w:val="50"/>
      </w:pPr>
      <w:r>
        <w:rPr>
          <w:rFonts w:hint="eastAsia"/>
        </w:rPr>
        <w:t>2019年，学院参与乡村文化建设项目1项，与长沙县㮾梨镇、路口镇，浏阳市小河乡、官桥镇联合开展新型职业农民、实用技术培训。开展送教下乡、送文艺下乡、送书到户等志愿服务活动，助力乡村文化建设。</w:t>
      </w:r>
    </w:p>
    <w:p>
      <w:pPr>
        <w:pStyle w:val="48"/>
        <w:spacing w:before="78" w:after="78"/>
      </w:pPr>
      <w:bookmarkStart w:id="123" w:name="_Toc18373"/>
      <w:r>
        <w:rPr>
          <w:rFonts w:hint="eastAsia"/>
        </w:rPr>
        <w:t>5.3.3  服务《中国制造2025》</w:t>
      </w:r>
      <w:bookmarkEnd w:id="123"/>
    </w:p>
    <w:p>
      <w:pPr>
        <w:pStyle w:val="50"/>
      </w:pPr>
      <w:r>
        <w:rPr>
          <w:rFonts w:hint="eastAsia"/>
        </w:rPr>
        <w:t>学院设有汽车制造与装配技术、数控技术、应用电子技术、汽车电子技术、新能源汽车技术和计算机网络技术6个服务《中国制造2025》的专业，2018年和2019年为《中国制造2025》输送高技能人才分别为243和256人。</w:t>
      </w:r>
    </w:p>
    <w:p>
      <w:pPr>
        <w:pStyle w:val="46"/>
        <w:spacing w:before="156" w:after="156"/>
      </w:pPr>
      <w:bookmarkStart w:id="124" w:name="_Toc14459"/>
      <w:r>
        <w:rPr>
          <w:rFonts w:hint="eastAsia"/>
        </w:rPr>
        <w:t>5.4  服务区域发展</w:t>
      </w:r>
      <w:bookmarkEnd w:id="124"/>
    </w:p>
    <w:p>
      <w:pPr>
        <w:pStyle w:val="48"/>
        <w:spacing w:before="78" w:after="78"/>
      </w:pPr>
      <w:bookmarkStart w:id="125" w:name="_Toc24764"/>
      <w:r>
        <w:rPr>
          <w:rFonts w:hint="eastAsia"/>
        </w:rPr>
        <w:t>5.4.1  服务“四大板块”</w:t>
      </w:r>
      <w:bookmarkEnd w:id="125"/>
    </w:p>
    <w:p>
      <w:pPr>
        <w:pStyle w:val="50"/>
      </w:pPr>
      <w:r>
        <w:rPr>
          <w:rFonts w:hint="eastAsia"/>
        </w:rPr>
        <w:t>学院服务湖南四大经济板块（长株潭，洞庭湖，大湘南，大湘西）专业数32个，2018年为“四大板块”输送高技能人才1810人，2019年为“四大板块”输送高技能人才2306人，比2018年增加496人。</w:t>
      </w:r>
    </w:p>
    <w:p>
      <w:pPr>
        <w:pStyle w:val="48"/>
        <w:spacing w:before="78" w:after="78"/>
      </w:pPr>
      <w:bookmarkStart w:id="126" w:name="_Toc30978"/>
      <w:r>
        <w:rPr>
          <w:rFonts w:hint="eastAsia"/>
        </w:rPr>
        <w:t>5.4.2  服务新兴优势产业链</w:t>
      </w:r>
      <w:bookmarkEnd w:id="126"/>
    </w:p>
    <w:p>
      <w:pPr>
        <w:pStyle w:val="50"/>
      </w:pPr>
      <w:r>
        <w:rPr>
          <w:rFonts w:hint="eastAsia"/>
        </w:rPr>
        <w:t>学院设有服务新兴优势产业的专业数1个，2018年为新兴优势产业输送高技能人才113人，2019年为新兴优势产业输送高技能人才154人，比2018年增加41人。</w:t>
      </w:r>
    </w:p>
    <w:p>
      <w:pPr>
        <w:pStyle w:val="48"/>
        <w:spacing w:before="78" w:after="78"/>
      </w:pPr>
      <w:bookmarkStart w:id="127" w:name="_Toc15493"/>
      <w:r>
        <w:rPr>
          <w:rFonts w:hint="eastAsia"/>
        </w:rPr>
        <w:t>5.4.3  服务行业企业</w:t>
      </w:r>
      <w:bookmarkEnd w:id="127"/>
    </w:p>
    <w:p>
      <w:pPr>
        <w:pStyle w:val="50"/>
      </w:pPr>
      <w:r>
        <w:rPr>
          <w:rFonts w:hint="eastAsia"/>
        </w:rPr>
        <w:t>学院利用高水平专业群对接区域产业优势服务行业企业，校企共建企业员工培训中心1个，2018年，毕业生在中小微企业就业人数达2620人，培训企业员工433人，2019年，毕业生在中小微企业就业人数达2872人，培训企业员工500人。</w:t>
      </w:r>
    </w:p>
    <w:p>
      <w:pPr>
        <w:pStyle w:val="48"/>
        <w:spacing w:before="78" w:after="78"/>
      </w:pPr>
      <w:bookmarkStart w:id="128" w:name="_Toc20141"/>
      <w:r>
        <w:rPr>
          <w:rFonts w:hint="eastAsia"/>
        </w:rPr>
        <w:t>5.4.4  服务社区</w:t>
      </w:r>
      <w:bookmarkEnd w:id="128"/>
    </w:p>
    <w:p>
      <w:pPr>
        <w:pStyle w:val="50"/>
        <w:rPr>
          <w:rFonts w:ascii="隶书" w:hAnsi="隶书" w:eastAsia="隶书" w:cs="隶书"/>
          <w:sz w:val="36"/>
          <w:szCs w:val="36"/>
        </w:rPr>
      </w:pPr>
      <w:r>
        <w:rPr>
          <w:rFonts w:hint="eastAsia"/>
        </w:rPr>
        <w:t>为弘扬社会主义核心价值观，促进社区居民终身学习，学院与黄花社区合作共建了“都市黄花文化广场”、社区图书馆、社区讲坛、社区学院网站四个学习平台，社区学院网站开设居民需求、科学普及、文明素养、社区发展、社区活动专栏。2019年，学院文体场所每周向社区居民开放时间16时；当年与社区共同开展文化活动96次，社区学院注册学员达3700余人，开展各类活动100余次，社区学院成为了社区居民的文化家园。</w:t>
      </w:r>
      <w:r>
        <w:rPr>
          <w:rFonts w:hint="eastAsia" w:ascii="隶书" w:hAnsi="隶书" w:eastAsia="隶书" w:cs="隶书"/>
          <w:sz w:val="36"/>
          <w:szCs w:val="36"/>
        </w:rPr>
        <w:t xml:space="preserve"> </w:t>
      </w:r>
    </w:p>
    <w:p>
      <w:pPr>
        <w:pStyle w:val="46"/>
        <w:spacing w:before="156" w:after="156"/>
      </w:pPr>
      <w:bookmarkStart w:id="129" w:name="_Toc15630"/>
      <w:r>
        <w:rPr>
          <w:rFonts w:hint="eastAsia"/>
        </w:rPr>
        <w:t>5.5  开展技术研发</w:t>
      </w:r>
      <w:bookmarkEnd w:id="129"/>
    </w:p>
    <w:p>
      <w:pPr>
        <w:pStyle w:val="50"/>
      </w:pPr>
      <w:r>
        <w:rPr>
          <w:rFonts w:hint="eastAsia"/>
        </w:rPr>
        <w:t>为提高学术水平和技术研发能力，学院出台相关政策激励教师开展科学研究、技术研发和教学改革，依托三大重点专业群对接区域产业链优势，建立产学研深度融合技术创新体系，推动学院高质量发展。至2019年，校企合作获得发明专利5项，校企合作攻克关键技术难题1个。</w:t>
      </w:r>
    </w:p>
    <w:p>
      <w:pPr>
        <w:pStyle w:val="44"/>
        <w:spacing w:after="312"/>
      </w:pPr>
      <w:bookmarkStart w:id="130" w:name="_Toc4750"/>
      <w:r>
        <w:rPr>
          <w:rFonts w:hint="eastAsia"/>
        </w:rPr>
        <w:t>6  面临挑战</w:t>
      </w:r>
      <w:bookmarkEnd w:id="130"/>
    </w:p>
    <w:p>
      <w:pPr>
        <w:pStyle w:val="46"/>
        <w:spacing w:before="156" w:after="156"/>
      </w:pPr>
      <w:bookmarkStart w:id="131" w:name="_Toc17048"/>
      <w:r>
        <w:rPr>
          <w:rFonts w:hint="eastAsia"/>
        </w:rPr>
        <w:t>6.1  服务“一带一路”倡议挑战国际化办学</w:t>
      </w:r>
      <w:bookmarkEnd w:id="131"/>
    </w:p>
    <w:p>
      <w:pPr>
        <w:pStyle w:val="50"/>
      </w:pPr>
      <w:r>
        <w:rPr>
          <w:rFonts w:hint="eastAsia"/>
        </w:rPr>
        <w:t xml:space="preserve">从国际影响表来看，学院国际化办学刚刚起步，除有少量师生进行国际交流外，其他指标均未开始。随着国家“一带一路”倡议的稳步推进，湖南省企业“走出去”的步伐明显加快，服务国家倡议和湖湘企业走出去是高等教育义不容辞的责任。为此，学院还需加大国际化办学力度，在进一步促进师生国际交流的同时，积极推进留学生基地建设，在助力互相企业走出去的过程中发挥作用，促进具有学院特征的中国高职教育元素和符号走出国门、产生影响。 </w:t>
      </w:r>
    </w:p>
    <w:bookmarkEnd w:id="49"/>
    <w:bookmarkEnd w:id="50"/>
    <w:bookmarkEnd w:id="51"/>
    <w:bookmarkEnd w:id="52"/>
    <w:p>
      <w:pPr>
        <w:pStyle w:val="46"/>
        <w:spacing w:before="156" w:after="156"/>
      </w:pPr>
      <w:bookmarkStart w:id="132" w:name="_Toc11022"/>
      <w:bookmarkStart w:id="133" w:name="_Toc10633"/>
      <w:bookmarkStart w:id="134" w:name="_Toc30942"/>
      <w:bookmarkStart w:id="135" w:name="_Toc8747"/>
      <w:bookmarkStart w:id="136" w:name="_Toc21319"/>
      <w:bookmarkStart w:id="137" w:name="_Toc255642370"/>
      <w:bookmarkStart w:id="138" w:name="_Toc13286"/>
      <w:bookmarkStart w:id="139" w:name="_Toc11177"/>
      <w:bookmarkStart w:id="140" w:name="_Toc10366"/>
      <w:bookmarkStart w:id="141" w:name="_Toc3118"/>
      <w:r>
        <w:rPr>
          <w:rFonts w:hint="eastAsia"/>
        </w:rPr>
        <w:t>6.2  服务贡献挑战</w:t>
      </w:r>
      <w:bookmarkEnd w:id="132"/>
      <w:r>
        <w:rPr>
          <w:rFonts w:hint="eastAsia"/>
        </w:rPr>
        <w:t>学院服务能力</w:t>
      </w:r>
      <w:bookmarkEnd w:id="133"/>
    </w:p>
    <w:p>
      <w:pPr>
        <w:pStyle w:val="50"/>
        <w:sectPr>
          <w:pgSz w:w="11907" w:h="16840"/>
          <w:pgMar w:top="1361" w:right="1418" w:bottom="1361" w:left="1418" w:header="720" w:footer="720" w:gutter="113"/>
          <w:cols w:space="720" w:num="1"/>
          <w:docGrid w:type="lines" w:linePitch="312" w:charSpace="0"/>
        </w:sectPr>
      </w:pPr>
      <w:r>
        <w:rPr>
          <w:rFonts w:hint="eastAsia"/>
        </w:rPr>
        <w:t>学院不断加强专业、课程、实习实训基地、教师队伍、教学资源建设，内涵水平不断提升，与“两区一园”紧密对接，积极促进产教融合，社会服务能力持续提升。从近两年服务贡献表分析，全日制在校生人数、毕业生人数、就业率等指标均有不同程度增长，取得了较好成绩，但横向技术服务到款额、技术交易额、纵向科研经费到款额指标仍处于较低水平，学院服务能力有待进一步提升。</w:t>
      </w:r>
      <w:bookmarkEnd w:id="134"/>
      <w:bookmarkEnd w:id="135"/>
      <w:bookmarkEnd w:id="136"/>
      <w:bookmarkEnd w:id="137"/>
      <w:bookmarkEnd w:id="138"/>
    </w:p>
    <w:p>
      <w:pPr>
        <w:pStyle w:val="44"/>
        <w:spacing w:after="312"/>
        <w:rPr>
          <w:rFonts w:hint="eastAsia"/>
        </w:rPr>
      </w:pPr>
      <w:bookmarkStart w:id="142" w:name="_Toc1074"/>
      <w:bookmarkStart w:id="143" w:name="_Toc13685"/>
      <w:r>
        <w:rPr>
          <w:rFonts w:hint="eastAsia"/>
        </w:rPr>
        <w:t>附录</w:t>
      </w:r>
      <w:bookmarkEnd w:id="139"/>
      <w:bookmarkEnd w:id="140"/>
      <w:bookmarkEnd w:id="141"/>
      <w:bookmarkEnd w:id="142"/>
      <w:bookmarkEnd w:id="143"/>
    </w:p>
    <w:p>
      <w:pPr>
        <w:pStyle w:val="50"/>
        <w:rPr>
          <w:rFonts w:hint="eastAsia"/>
          <w:lang w:val="en-US" w:eastAsia="zh-CN"/>
        </w:rPr>
      </w:pPr>
      <w:r>
        <w:rPr>
          <w:rFonts w:hint="eastAsia"/>
          <w:lang w:eastAsia="zh-CN"/>
        </w:rPr>
        <w:t>附录中给出了“计分卡”（见表</w:t>
      </w:r>
      <w:r>
        <w:rPr>
          <w:rFonts w:hint="eastAsia"/>
          <w:lang w:val="en-US" w:eastAsia="zh-CN"/>
        </w:rPr>
        <w:t>1）、</w:t>
      </w:r>
      <w:r>
        <w:rPr>
          <w:rFonts w:hint="eastAsia"/>
          <w:lang w:eastAsia="zh-CN"/>
        </w:rPr>
        <w:t>学生反馈表</w:t>
      </w:r>
      <w:r>
        <w:rPr>
          <w:rFonts w:hint="eastAsia"/>
          <w:lang w:eastAsia="zh-CN"/>
        </w:rPr>
        <w:t>（见表</w:t>
      </w:r>
      <w:r>
        <w:rPr>
          <w:rFonts w:hint="eastAsia"/>
          <w:lang w:val="en-US" w:eastAsia="zh-CN"/>
        </w:rPr>
        <w:t>2）、</w:t>
      </w:r>
      <w:r>
        <w:rPr>
          <w:rFonts w:hint="eastAsia"/>
          <w:lang w:eastAsia="zh-CN"/>
        </w:rPr>
        <w:t>资源表</w:t>
      </w:r>
      <w:r>
        <w:rPr>
          <w:rFonts w:hint="eastAsia"/>
          <w:lang w:eastAsia="zh-CN"/>
        </w:rPr>
        <w:t>（见表</w:t>
      </w:r>
      <w:r>
        <w:rPr>
          <w:rFonts w:hint="eastAsia"/>
          <w:lang w:val="en-US" w:eastAsia="zh-CN"/>
        </w:rPr>
        <w:t>3）、</w:t>
      </w:r>
      <w:r>
        <w:rPr>
          <w:rFonts w:hint="eastAsia"/>
          <w:lang w:eastAsia="zh-CN"/>
        </w:rPr>
        <w:t>国际影响表（见表</w:t>
      </w:r>
      <w:r>
        <w:rPr>
          <w:rFonts w:hint="eastAsia"/>
          <w:lang w:val="en-US" w:eastAsia="zh-CN"/>
        </w:rPr>
        <w:t>4）、</w:t>
      </w:r>
      <w:r>
        <w:rPr>
          <w:rFonts w:hint="eastAsia"/>
          <w:lang w:eastAsia="zh-CN"/>
        </w:rPr>
        <w:t>服务贡献表</w:t>
      </w:r>
      <w:r>
        <w:rPr>
          <w:rFonts w:hint="eastAsia"/>
          <w:lang w:eastAsia="zh-CN"/>
        </w:rPr>
        <w:t>（见表</w:t>
      </w:r>
      <w:r>
        <w:rPr>
          <w:rFonts w:hint="eastAsia"/>
          <w:lang w:val="en-US" w:eastAsia="zh-CN"/>
        </w:rPr>
        <w:t>5）</w:t>
      </w:r>
      <w:r>
        <w:rPr>
          <w:rFonts w:hint="eastAsia"/>
          <w:lang w:eastAsia="zh-CN"/>
        </w:rPr>
        <w:t>以及落实政策表</w:t>
      </w:r>
      <w:r>
        <w:rPr>
          <w:rFonts w:hint="eastAsia"/>
          <w:lang w:eastAsia="zh-CN"/>
        </w:rPr>
        <w:t>（见表</w:t>
      </w:r>
      <w:r>
        <w:rPr>
          <w:rFonts w:hint="eastAsia"/>
          <w:lang w:val="en-US" w:eastAsia="zh-CN"/>
        </w:rPr>
        <w:t>6）。</w:t>
      </w:r>
    </w:p>
    <w:p>
      <w:pPr>
        <w:pStyle w:val="46"/>
        <w:spacing w:before="156" w:after="156"/>
        <w:ind w:firstLine="3240" w:firstLineChars="900"/>
      </w:pPr>
      <w:bookmarkStart w:id="144" w:name="_Toc7592"/>
      <w:r>
        <w:rPr>
          <w:rFonts w:hint="eastAsia"/>
        </w:rPr>
        <w:t>表1  计分卡</w:t>
      </w:r>
      <w:bookmarkEnd w:id="144"/>
    </w:p>
    <w:tbl>
      <w:tblPr>
        <w:tblStyle w:val="20"/>
        <w:tblW w:w="8562" w:type="dxa"/>
        <w:jc w:val="center"/>
        <w:tblInd w:w="0" w:type="dxa"/>
        <w:tblLayout w:type="fixed"/>
        <w:tblCellMar>
          <w:top w:w="0" w:type="dxa"/>
          <w:left w:w="108" w:type="dxa"/>
          <w:bottom w:w="0" w:type="dxa"/>
          <w:right w:w="108" w:type="dxa"/>
        </w:tblCellMar>
      </w:tblPr>
      <w:tblGrid>
        <w:gridCol w:w="765"/>
        <w:gridCol w:w="767"/>
        <w:gridCol w:w="473"/>
        <w:gridCol w:w="3506"/>
        <w:gridCol w:w="1011"/>
        <w:gridCol w:w="983"/>
        <w:gridCol w:w="1057"/>
      </w:tblGrid>
      <w:tr>
        <w:tblPrEx>
          <w:tblLayout w:type="fixed"/>
          <w:tblCellMar>
            <w:top w:w="0" w:type="dxa"/>
            <w:left w:w="108" w:type="dxa"/>
            <w:bottom w:w="0" w:type="dxa"/>
            <w:right w:w="108" w:type="dxa"/>
          </w:tblCellMar>
        </w:tblPrEx>
        <w:trPr>
          <w:trHeight w:val="707" w:hRule="atLeast"/>
          <w:jc w:val="center"/>
        </w:trPr>
        <w:tc>
          <w:tcPr>
            <w:tcW w:w="765" w:type="dxa"/>
            <w:tcBorders>
              <w:top w:val="single" w:color="auto" w:sz="4" w:space="0"/>
              <w:left w:val="single" w:color="auto" w:sz="4" w:space="0"/>
              <w:bottom w:val="single" w:color="auto" w:sz="4" w:space="0"/>
            </w:tcBorders>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院校代码</w:t>
            </w:r>
          </w:p>
        </w:tc>
        <w:tc>
          <w:tcPr>
            <w:tcW w:w="767" w:type="dxa"/>
            <w:tcBorders>
              <w:top w:val="single" w:color="auto" w:sz="4" w:space="0"/>
              <w:left w:val="single" w:color="auto" w:sz="4" w:space="0"/>
              <w:bottom w:val="single" w:color="auto" w:sz="4" w:space="0"/>
            </w:tcBorders>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院校名称</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指标</w:t>
            </w:r>
          </w:p>
        </w:tc>
        <w:tc>
          <w:tcPr>
            <w:tcW w:w="1011"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单位</w:t>
            </w:r>
          </w:p>
        </w:tc>
        <w:tc>
          <w:tcPr>
            <w:tcW w:w="983"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2018年</w:t>
            </w:r>
          </w:p>
        </w:tc>
        <w:tc>
          <w:tcPr>
            <w:tcW w:w="1057"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2019年</w:t>
            </w:r>
          </w:p>
        </w:tc>
      </w:tr>
      <w:tr>
        <w:tblPrEx>
          <w:tblLayout w:type="fixed"/>
          <w:tblCellMar>
            <w:top w:w="0" w:type="dxa"/>
            <w:left w:w="108" w:type="dxa"/>
            <w:bottom w:w="0" w:type="dxa"/>
            <w:right w:w="108" w:type="dxa"/>
          </w:tblCellMar>
        </w:tblPrEx>
        <w:trPr>
          <w:trHeight w:val="397" w:hRule="atLeast"/>
          <w:jc w:val="center"/>
        </w:trPr>
        <w:tc>
          <w:tcPr>
            <w:tcW w:w="765" w:type="dxa"/>
            <w:vMerge w:val="restart"/>
            <w:tcBorders>
              <w:top w:val="single" w:color="auto" w:sz="4" w:space="0"/>
              <w:lef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14121</w:t>
            </w:r>
          </w:p>
        </w:tc>
        <w:tc>
          <w:tcPr>
            <w:tcW w:w="767" w:type="dxa"/>
            <w:vMerge w:val="restart"/>
            <w:tcBorders>
              <w:top w:val="single" w:color="auto" w:sz="4" w:space="0"/>
              <w:lef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湖南都市职业学院</w:t>
            </w: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1</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就业率</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89.78</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89.44</w:t>
            </w:r>
          </w:p>
        </w:tc>
      </w:tr>
      <w:tr>
        <w:tblPrEx>
          <w:tblLayout w:type="fixed"/>
          <w:tblCellMar>
            <w:top w:w="0" w:type="dxa"/>
            <w:left w:w="108" w:type="dxa"/>
            <w:bottom w:w="0" w:type="dxa"/>
            <w:right w:w="108" w:type="dxa"/>
          </w:tblCellMar>
        </w:tblPrEx>
        <w:trPr>
          <w:trHeight w:val="397" w:hRule="atLeast"/>
          <w:jc w:val="center"/>
        </w:trPr>
        <w:tc>
          <w:tcPr>
            <w:tcW w:w="765"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767"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2</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月收入</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3599</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3424.09</w:t>
            </w:r>
          </w:p>
        </w:tc>
      </w:tr>
      <w:tr>
        <w:tblPrEx>
          <w:tblLayout w:type="fixed"/>
          <w:tblCellMar>
            <w:top w:w="0" w:type="dxa"/>
            <w:left w:w="108" w:type="dxa"/>
            <w:bottom w:w="0" w:type="dxa"/>
            <w:right w:w="108" w:type="dxa"/>
          </w:tblCellMar>
        </w:tblPrEx>
        <w:trPr>
          <w:trHeight w:val="397" w:hRule="atLeast"/>
          <w:jc w:val="center"/>
        </w:trPr>
        <w:tc>
          <w:tcPr>
            <w:tcW w:w="765"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767"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3</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理工农医类专业相关度</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84</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ind w:firstLine="210" w:firstLineChars="100"/>
              <w:textAlignment w:val="center"/>
              <w:rPr>
                <w:rFonts w:ascii="楷体" w:hAnsi="楷体" w:eastAsia="楷体" w:cs="楷体"/>
                <w:szCs w:val="21"/>
              </w:rPr>
            </w:pPr>
            <w:r>
              <w:rPr>
                <w:rFonts w:hint="eastAsia" w:ascii="楷体" w:hAnsi="楷体" w:eastAsia="楷体" w:cs="楷体"/>
                <w:color w:val="000000"/>
                <w:kern w:val="0"/>
                <w:szCs w:val="21"/>
              </w:rPr>
              <w:t>87</w:t>
            </w:r>
          </w:p>
        </w:tc>
      </w:tr>
      <w:tr>
        <w:tblPrEx>
          <w:tblLayout w:type="fixed"/>
          <w:tblCellMar>
            <w:top w:w="0" w:type="dxa"/>
            <w:left w:w="108" w:type="dxa"/>
            <w:bottom w:w="0" w:type="dxa"/>
            <w:right w:w="108" w:type="dxa"/>
          </w:tblCellMar>
        </w:tblPrEx>
        <w:trPr>
          <w:trHeight w:val="397" w:hRule="atLeast"/>
          <w:jc w:val="center"/>
        </w:trPr>
        <w:tc>
          <w:tcPr>
            <w:tcW w:w="765"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767"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4</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母校满意度</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94.95</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93.56</w:t>
            </w:r>
          </w:p>
        </w:tc>
      </w:tr>
      <w:tr>
        <w:tblPrEx>
          <w:tblLayout w:type="fixed"/>
          <w:tblCellMar>
            <w:top w:w="0" w:type="dxa"/>
            <w:left w:w="108" w:type="dxa"/>
            <w:bottom w:w="0" w:type="dxa"/>
            <w:right w:w="108" w:type="dxa"/>
          </w:tblCellMar>
        </w:tblPrEx>
        <w:trPr>
          <w:trHeight w:val="397" w:hRule="atLeast"/>
          <w:jc w:val="center"/>
        </w:trPr>
        <w:tc>
          <w:tcPr>
            <w:tcW w:w="765"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767"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5</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自主创业比例</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2.00</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0.25</w:t>
            </w:r>
          </w:p>
        </w:tc>
      </w:tr>
      <w:tr>
        <w:tblPrEx>
          <w:tblLayout w:type="fixed"/>
          <w:tblCellMar>
            <w:top w:w="0" w:type="dxa"/>
            <w:left w:w="108" w:type="dxa"/>
            <w:bottom w:w="0" w:type="dxa"/>
            <w:right w:w="108" w:type="dxa"/>
          </w:tblCellMar>
        </w:tblPrEx>
        <w:trPr>
          <w:trHeight w:val="397" w:hRule="atLeast"/>
          <w:jc w:val="center"/>
        </w:trPr>
        <w:tc>
          <w:tcPr>
            <w:tcW w:w="765"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767" w:type="dxa"/>
            <w:vMerge w:val="continue"/>
            <w:tcBorders>
              <w:left w:val="single" w:color="auto" w:sz="4" w:space="0"/>
            </w:tcBorders>
            <w:shd w:val="clear" w:color="auto" w:fill="FDE9D9" w:themeFill="accent6" w:themeFillTint="33"/>
            <w:vAlign w:val="center"/>
          </w:tcPr>
          <w:p>
            <w:pPr>
              <w:jc w:val="center"/>
              <w:rPr>
                <w:rFonts w:ascii="楷体" w:hAnsi="楷体" w:eastAsia="楷体"/>
                <w:szCs w:val="21"/>
              </w:rPr>
            </w:pP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6</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雇主满意度</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98.57</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98.02</w:t>
            </w:r>
          </w:p>
        </w:tc>
      </w:tr>
      <w:tr>
        <w:tblPrEx>
          <w:tblLayout w:type="fixed"/>
          <w:tblCellMar>
            <w:top w:w="0" w:type="dxa"/>
            <w:left w:w="108" w:type="dxa"/>
            <w:bottom w:w="0" w:type="dxa"/>
            <w:right w:w="108" w:type="dxa"/>
          </w:tblCellMar>
        </w:tblPrEx>
        <w:trPr>
          <w:trHeight w:val="397" w:hRule="atLeast"/>
          <w:jc w:val="center"/>
        </w:trPr>
        <w:tc>
          <w:tcPr>
            <w:tcW w:w="765" w:type="dxa"/>
            <w:vMerge w:val="continue"/>
            <w:tcBorders>
              <w:left w:val="single" w:color="auto" w:sz="4" w:space="0"/>
              <w:bottom w:val="single" w:color="auto" w:sz="4" w:space="0"/>
            </w:tcBorders>
            <w:shd w:val="clear" w:color="auto" w:fill="FDE9D9" w:themeFill="accent6" w:themeFillTint="33"/>
            <w:vAlign w:val="center"/>
          </w:tcPr>
          <w:p>
            <w:pPr>
              <w:jc w:val="center"/>
              <w:rPr>
                <w:rFonts w:ascii="楷体" w:hAnsi="楷体" w:eastAsia="楷体"/>
                <w:szCs w:val="21"/>
              </w:rPr>
            </w:pPr>
          </w:p>
        </w:tc>
        <w:tc>
          <w:tcPr>
            <w:tcW w:w="767" w:type="dxa"/>
            <w:vMerge w:val="continue"/>
            <w:tcBorders>
              <w:left w:val="single" w:color="auto" w:sz="4" w:space="0"/>
              <w:bottom w:val="single" w:color="auto" w:sz="4" w:space="0"/>
            </w:tcBorders>
            <w:shd w:val="clear" w:color="auto" w:fill="FDE9D9" w:themeFill="accent6" w:themeFillTint="33"/>
            <w:vAlign w:val="center"/>
          </w:tcPr>
          <w:p>
            <w:pPr>
              <w:jc w:val="center"/>
              <w:rPr>
                <w:rFonts w:ascii="楷体" w:hAnsi="楷体" w:eastAsia="楷体"/>
                <w:szCs w:val="21"/>
              </w:rPr>
            </w:pPr>
          </w:p>
        </w:tc>
        <w:tc>
          <w:tcPr>
            <w:tcW w:w="473" w:type="dxa"/>
            <w:tcBorders>
              <w:top w:val="nil"/>
              <w:left w:val="single" w:color="auto" w:sz="4" w:space="0"/>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7</w:t>
            </w:r>
          </w:p>
        </w:tc>
        <w:tc>
          <w:tcPr>
            <w:tcW w:w="3506"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毕业三年职位晋升比例</w:t>
            </w:r>
          </w:p>
        </w:tc>
        <w:tc>
          <w:tcPr>
            <w:tcW w:w="1011"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983"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64.59</w:t>
            </w:r>
          </w:p>
        </w:tc>
        <w:tc>
          <w:tcPr>
            <w:tcW w:w="1057" w:type="dxa"/>
            <w:tcBorders>
              <w:top w:val="nil"/>
              <w:left w:val="nil"/>
              <w:bottom w:val="single" w:color="auto" w:sz="4" w:space="0"/>
              <w:right w:val="single" w:color="auto" w:sz="4" w:space="0"/>
            </w:tcBorders>
            <w:shd w:val="clear" w:color="auto" w:fill="FDE9D9" w:themeFill="accent6" w:themeFillTint="33"/>
            <w:noWrap/>
            <w:vAlign w:val="center"/>
          </w:tcPr>
          <w:p>
            <w:pPr>
              <w:widowControl/>
              <w:jc w:val="center"/>
              <w:textAlignment w:val="center"/>
              <w:rPr>
                <w:rFonts w:ascii="楷体" w:hAnsi="楷体" w:eastAsia="楷体" w:cs="楷体"/>
                <w:szCs w:val="21"/>
              </w:rPr>
            </w:pPr>
            <w:r>
              <w:rPr>
                <w:rFonts w:hint="eastAsia" w:ascii="楷体" w:hAnsi="楷体" w:eastAsia="楷体" w:cs="楷体"/>
                <w:color w:val="000000"/>
                <w:kern w:val="0"/>
                <w:szCs w:val="21"/>
              </w:rPr>
              <w:t>65.12</w:t>
            </w:r>
          </w:p>
        </w:tc>
      </w:tr>
    </w:tbl>
    <w:p>
      <w:pPr>
        <w:pStyle w:val="50"/>
      </w:pPr>
    </w:p>
    <w:p>
      <w:pPr>
        <w:pStyle w:val="50"/>
      </w:pPr>
    </w:p>
    <w:p>
      <w:pPr>
        <w:pStyle w:val="50"/>
      </w:pPr>
    </w:p>
    <w:p>
      <w:pPr>
        <w:pStyle w:val="50"/>
      </w:pPr>
    </w:p>
    <w:p>
      <w:pPr>
        <w:pStyle w:val="50"/>
      </w:pPr>
    </w:p>
    <w:p>
      <w:pPr>
        <w:pStyle w:val="50"/>
        <w:ind w:firstLine="0" w:firstLineChars="0"/>
      </w:pPr>
    </w:p>
    <w:p>
      <w:pPr>
        <w:pStyle w:val="50"/>
      </w:pPr>
    </w:p>
    <w:p>
      <w:pPr>
        <w:pStyle w:val="50"/>
      </w:pPr>
    </w:p>
    <w:p>
      <w:pPr>
        <w:pStyle w:val="50"/>
      </w:pPr>
    </w:p>
    <w:p>
      <w:pPr>
        <w:pStyle w:val="50"/>
      </w:pPr>
    </w:p>
    <w:p>
      <w:pPr>
        <w:pStyle w:val="46"/>
        <w:spacing w:before="156" w:after="156"/>
        <w:ind w:firstLine="3240" w:firstLineChars="900"/>
      </w:pPr>
      <w:bookmarkStart w:id="145" w:name="_Toc5788"/>
      <w:r>
        <w:t>表</w:t>
      </w:r>
      <w:r>
        <w:rPr>
          <w:rFonts w:hint="eastAsia"/>
        </w:rPr>
        <w:t>2  学生反馈表</w:t>
      </w:r>
      <w:bookmarkEnd w:id="145"/>
    </w:p>
    <w:tbl>
      <w:tblPr>
        <w:tblStyle w:val="20"/>
        <w:tblW w:w="90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hemeFill="accent6" w:themeFillTint="33"/>
        <w:tblLayout w:type="fixed"/>
        <w:tblCellMar>
          <w:top w:w="0" w:type="dxa"/>
          <w:left w:w="108" w:type="dxa"/>
          <w:bottom w:w="0" w:type="dxa"/>
          <w:right w:w="108" w:type="dxa"/>
        </w:tblCellMar>
      </w:tblPr>
      <w:tblGrid>
        <w:gridCol w:w="800"/>
        <w:gridCol w:w="491"/>
        <w:gridCol w:w="217"/>
        <w:gridCol w:w="132"/>
        <w:gridCol w:w="627"/>
        <w:gridCol w:w="1007"/>
        <w:gridCol w:w="1160"/>
        <w:gridCol w:w="710"/>
        <w:gridCol w:w="810"/>
        <w:gridCol w:w="800"/>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hemeFill="accent6" w:themeFillTint="33"/>
          <w:tblLayout w:type="fixed"/>
          <w:tblCellMar>
            <w:top w:w="0" w:type="dxa"/>
            <w:left w:w="108" w:type="dxa"/>
            <w:bottom w:w="0" w:type="dxa"/>
            <w:right w:w="108" w:type="dxa"/>
          </w:tblCellMar>
        </w:tblPrEx>
        <w:trPr>
          <w:trHeight w:val="889" w:hRule="atLeast"/>
          <w:jc w:val="center"/>
        </w:trPr>
        <w:tc>
          <w:tcPr>
            <w:tcW w:w="800" w:type="dxa"/>
            <w:shd w:val="clear" w:color="auto" w:fill="D99594" w:themeFill="accent2" w:themeFillTint="99"/>
          </w:tcPr>
          <w:p>
            <w:pPr>
              <w:jc w:val="center"/>
              <w:rPr>
                <w:rFonts w:ascii="仿宋_GB2312" w:hAnsi="宋体" w:eastAsia="仿宋_GB2312"/>
                <w:b/>
                <w:szCs w:val="21"/>
              </w:rPr>
            </w:pPr>
            <w:r>
              <w:rPr>
                <w:rFonts w:hint="eastAsia" w:ascii="仿宋_GB2312" w:hAnsi="宋体" w:eastAsia="仿宋_GB2312"/>
                <w:b/>
                <w:szCs w:val="21"/>
              </w:rPr>
              <w:t>院校代码</w:t>
            </w:r>
          </w:p>
        </w:tc>
        <w:tc>
          <w:tcPr>
            <w:tcW w:w="708" w:type="dxa"/>
            <w:gridSpan w:val="2"/>
            <w:shd w:val="clear" w:color="auto" w:fill="D99594" w:themeFill="accent2" w:themeFillTint="99"/>
          </w:tcPr>
          <w:p>
            <w:pPr>
              <w:jc w:val="center"/>
              <w:rPr>
                <w:rFonts w:ascii="仿宋_GB2312" w:hAnsi="宋体" w:eastAsia="仿宋_GB2312"/>
                <w:b/>
                <w:szCs w:val="21"/>
              </w:rPr>
            </w:pPr>
            <w:r>
              <w:rPr>
                <w:rFonts w:hint="eastAsia" w:ascii="仿宋_GB2312" w:hAnsi="宋体" w:eastAsia="仿宋_GB2312"/>
                <w:b/>
                <w:szCs w:val="21"/>
              </w:rPr>
              <w:t>院校名称</w:t>
            </w:r>
          </w:p>
        </w:tc>
        <w:tc>
          <w:tcPr>
            <w:tcW w:w="2926" w:type="dxa"/>
            <w:gridSpan w:val="4"/>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指标</w:t>
            </w:r>
          </w:p>
        </w:tc>
        <w:tc>
          <w:tcPr>
            <w:tcW w:w="710"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单位</w:t>
            </w:r>
          </w:p>
        </w:tc>
        <w:tc>
          <w:tcPr>
            <w:tcW w:w="810"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一年级</w:t>
            </w:r>
          </w:p>
        </w:tc>
        <w:tc>
          <w:tcPr>
            <w:tcW w:w="800"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二年级</w:t>
            </w:r>
          </w:p>
        </w:tc>
        <w:tc>
          <w:tcPr>
            <w:tcW w:w="2330" w:type="dxa"/>
            <w:shd w:val="clear" w:color="auto" w:fill="D99594" w:themeFill="accent2" w:themeFillTint="99"/>
            <w:vAlign w:val="center"/>
          </w:tcPr>
          <w:p>
            <w:pPr>
              <w:jc w:val="center"/>
              <w:rPr>
                <w:rFonts w:ascii="仿宋_GB2312" w:hAnsi="宋体" w:eastAsia="仿宋_GB2312"/>
                <w:b/>
                <w:szCs w:val="21"/>
              </w:rPr>
            </w:pPr>
            <w:r>
              <w:rPr>
                <w:rFonts w:hint="eastAsia" w:ascii="仿宋_GB2312" w:hAnsi="宋体" w:eastAsia="仿宋_GB2312"/>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800" w:type="dxa"/>
            <w:vMerge w:val="restart"/>
            <w:shd w:val="clear" w:color="auto" w:fill="FDE9D9" w:themeFill="accent6" w:themeFillTint="33"/>
          </w:tcPr>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rPr>
                <w:rFonts w:ascii="仿宋_GB2312" w:hAnsi="宋体" w:eastAsia="仿宋_GB2312"/>
                <w:b/>
                <w:szCs w:val="21"/>
              </w:rPr>
            </w:pPr>
            <w:r>
              <w:rPr>
                <w:rFonts w:hint="eastAsia" w:ascii="仿宋_GB2312" w:hAnsi="宋体" w:eastAsia="仿宋_GB2312"/>
                <w:b/>
                <w:szCs w:val="21"/>
              </w:rPr>
              <w:t>14121</w:t>
            </w:r>
          </w:p>
        </w:tc>
        <w:tc>
          <w:tcPr>
            <w:tcW w:w="491" w:type="dxa"/>
            <w:vMerge w:val="restart"/>
            <w:shd w:val="clear" w:color="auto" w:fill="FDE9D9" w:themeFill="accent6" w:themeFillTint="33"/>
          </w:tcPr>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p>
          <w:p>
            <w:pPr>
              <w:jc w:val="center"/>
              <w:rPr>
                <w:rFonts w:ascii="仿宋_GB2312" w:hAnsi="宋体" w:eastAsia="仿宋_GB2312"/>
                <w:szCs w:val="21"/>
              </w:rPr>
            </w:pPr>
            <w:r>
              <w:rPr>
                <w:rFonts w:ascii="仿宋_GB2312" w:hAnsi="宋体" w:eastAsia="仿宋_GB2312"/>
                <w:szCs w:val="21"/>
              </w:rPr>
              <w:t>湖南都市职业学院</w:t>
            </w:r>
          </w:p>
        </w:tc>
        <w:tc>
          <w:tcPr>
            <w:tcW w:w="349" w:type="dxa"/>
            <w:gridSpan w:val="2"/>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w:t>
            </w:r>
          </w:p>
        </w:tc>
        <w:tc>
          <w:tcPr>
            <w:tcW w:w="279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全日制在校生人数</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人</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4011</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2867</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2</w:t>
            </w:r>
          </w:p>
        </w:tc>
        <w:tc>
          <w:tcPr>
            <w:tcW w:w="279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教书育人满意度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p>
        </w:tc>
        <w:tc>
          <w:tcPr>
            <w:tcW w:w="800" w:type="dxa"/>
            <w:shd w:val="clear" w:color="auto" w:fill="FDE9D9" w:themeFill="accent6" w:themeFillTint="33"/>
            <w:vAlign w:val="center"/>
          </w:tcPr>
          <w:p>
            <w:pPr>
              <w:jc w:val="center"/>
              <w:rPr>
                <w:rFonts w:ascii="楷体" w:hAnsi="楷体" w:eastAsia="楷体"/>
                <w:szCs w:val="21"/>
              </w:rPr>
            </w:pP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left"/>
              <w:rPr>
                <w:rFonts w:ascii="仿宋_GB2312" w:hAnsi="宋体" w:eastAsia="仿宋_GB2312"/>
                <w:szCs w:val="21"/>
              </w:rPr>
            </w:pPr>
            <w:r>
              <w:rPr>
                <w:rFonts w:hint="eastAsia" w:ascii="仿宋_GB2312" w:hAnsi="宋体" w:eastAsia="仿宋_GB2312"/>
                <w:szCs w:val="21"/>
              </w:rPr>
              <w:t>（1）课堂育人</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人次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2545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1922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vAlign w:val="center"/>
          </w:tcPr>
          <w:p>
            <w:pPr>
              <w:jc w:val="left"/>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95.73</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96.22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left"/>
              <w:rPr>
                <w:rFonts w:ascii="仿宋_GB2312" w:hAnsi="宋体" w:eastAsia="仿宋_GB2312"/>
                <w:szCs w:val="21"/>
              </w:rPr>
            </w:pPr>
            <w:r>
              <w:rPr>
                <w:rFonts w:hint="eastAsia" w:ascii="仿宋_GB2312" w:hAnsi="宋体" w:eastAsia="仿宋_GB2312"/>
                <w:szCs w:val="21"/>
              </w:rPr>
              <w:t>（2）课外育人</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人次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2545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1922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tcPr>
          <w:p>
            <w:pPr>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95.74</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96.14</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3</w:t>
            </w:r>
          </w:p>
        </w:tc>
        <w:tc>
          <w:tcPr>
            <w:tcW w:w="279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课程教学满意度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p>
        </w:tc>
        <w:tc>
          <w:tcPr>
            <w:tcW w:w="800" w:type="dxa"/>
            <w:shd w:val="clear" w:color="auto" w:fill="FDE9D9" w:themeFill="accent6" w:themeFillTint="33"/>
            <w:vAlign w:val="center"/>
          </w:tcPr>
          <w:p>
            <w:pPr>
              <w:jc w:val="center"/>
              <w:rPr>
                <w:rFonts w:ascii="楷体" w:hAnsi="楷体" w:eastAsia="楷体"/>
                <w:szCs w:val="21"/>
              </w:rPr>
            </w:pP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（1）思想政治课</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调研课次</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课次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97.75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98.12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center"/>
              <w:rPr>
                <w:rFonts w:ascii="仿宋_GB2312" w:hAnsi="宋体" w:eastAsia="仿宋_GB2312"/>
                <w:spacing w:val="-20"/>
                <w:szCs w:val="21"/>
              </w:rPr>
            </w:pPr>
            <w:r>
              <w:rPr>
                <w:rFonts w:hint="eastAsia" w:ascii="仿宋_GB2312" w:hAnsi="宋体" w:eastAsia="仿宋_GB2312"/>
                <w:spacing w:val="-20"/>
                <w:szCs w:val="21"/>
              </w:rPr>
              <w:t>（2）公共基础课（不含思想政治课）</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调研课次</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课次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96.83</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96.69</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（3）专业课教学</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调研课次</w:t>
            </w:r>
          </w:p>
        </w:tc>
        <w:tc>
          <w:tcPr>
            <w:tcW w:w="710" w:type="dxa"/>
            <w:shd w:val="clear" w:color="auto" w:fill="FDE9D9" w:themeFill="accent6" w:themeFillTint="33"/>
            <w:vAlign w:val="center"/>
          </w:tcPr>
          <w:p>
            <w:pPr>
              <w:jc w:val="center"/>
              <w:rPr>
                <w:rFonts w:ascii="仿宋_GB2312" w:hAnsi="宋体" w:eastAsia="仿宋_GB2312"/>
                <w:b/>
                <w:szCs w:val="21"/>
              </w:rPr>
            </w:pPr>
            <w:r>
              <w:rPr>
                <w:rFonts w:hint="eastAsia" w:ascii="仿宋_GB2312" w:hAnsi="宋体" w:eastAsia="仿宋_GB2312"/>
                <w:szCs w:val="21"/>
              </w:rPr>
              <w:t>课次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200</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tcPr>
          <w:p>
            <w:pPr>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96.33</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96.11</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4</w:t>
            </w:r>
          </w:p>
        </w:tc>
        <w:tc>
          <w:tcPr>
            <w:tcW w:w="279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管理和服务工作满意度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p>
        </w:tc>
        <w:tc>
          <w:tcPr>
            <w:tcW w:w="800" w:type="dxa"/>
            <w:shd w:val="clear" w:color="auto" w:fill="FDE9D9" w:themeFill="accent6" w:themeFillTint="33"/>
            <w:vAlign w:val="center"/>
          </w:tcPr>
          <w:p>
            <w:pPr>
              <w:jc w:val="center"/>
              <w:rPr>
                <w:rFonts w:ascii="楷体" w:hAnsi="楷体" w:eastAsia="楷体"/>
                <w:szCs w:val="21"/>
              </w:rPr>
            </w:pP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（1）学生工作</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0" w:type="dxa"/>
            <w:shd w:val="clear" w:color="auto" w:fill="FDE9D9" w:themeFill="accent6" w:themeFillTint="33"/>
            <w:vAlign w:val="center"/>
          </w:tcPr>
          <w:p>
            <w:pPr>
              <w:jc w:val="center"/>
              <w:rPr>
                <w:rFonts w:ascii="仿宋_GB2312" w:hAnsi="宋体" w:eastAsia="仿宋_GB2312"/>
                <w:szCs w:val="21"/>
              </w:rPr>
            </w:pPr>
            <w:r>
              <w:rPr>
                <w:rFonts w:ascii="仿宋_GB2312" w:hAnsi="宋体" w:eastAsia="仿宋_GB2312"/>
                <w:szCs w:val="21"/>
              </w:rPr>
              <w:t>人次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2545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1922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96.34</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96.83</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ind w:firstLine="210" w:firstLineChars="100"/>
              <w:rPr>
                <w:rFonts w:ascii="仿宋_GB2312" w:hAnsi="宋体" w:eastAsia="仿宋_GB2312"/>
                <w:szCs w:val="21"/>
              </w:rPr>
            </w:pPr>
            <w:r>
              <w:rPr>
                <w:rFonts w:hint="eastAsia" w:ascii="仿宋_GB2312" w:hAnsi="宋体" w:eastAsia="仿宋_GB2312"/>
                <w:szCs w:val="21"/>
              </w:rPr>
              <w:t>（2）教学管理</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0" w:type="dxa"/>
            <w:shd w:val="clear" w:color="auto" w:fill="FDE9D9" w:themeFill="accent6" w:themeFillTint="33"/>
            <w:vAlign w:val="center"/>
          </w:tcPr>
          <w:p>
            <w:pPr>
              <w:jc w:val="center"/>
              <w:rPr>
                <w:rFonts w:ascii="仿宋_GB2312" w:hAnsi="宋体" w:eastAsia="仿宋_GB2312"/>
                <w:szCs w:val="21"/>
              </w:rPr>
            </w:pPr>
            <w:r>
              <w:rPr>
                <w:rFonts w:ascii="仿宋_GB2312" w:hAnsi="宋体" w:eastAsia="仿宋_GB2312"/>
                <w:szCs w:val="21"/>
              </w:rPr>
              <w:t>人次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2545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1922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满意度</w:t>
            </w:r>
          </w:p>
        </w:tc>
        <w:tc>
          <w:tcPr>
            <w:tcW w:w="710" w:type="dxa"/>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96.12</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96.87</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Cs w:val="21"/>
              </w:rPr>
            </w:pPr>
          </w:p>
        </w:tc>
        <w:tc>
          <w:tcPr>
            <w:tcW w:w="491" w:type="dxa"/>
            <w:vMerge w:val="continue"/>
            <w:shd w:val="clear" w:color="auto" w:fill="FDE9D9" w:themeFill="accent6" w:themeFillTint="33"/>
          </w:tcPr>
          <w:p>
            <w:pPr>
              <w:jc w:val="center"/>
              <w:rPr>
                <w:rFonts w:ascii="仿宋_GB2312" w:hAnsi="宋体" w:eastAsia="仿宋_GB2312"/>
                <w:szCs w:val="21"/>
              </w:rPr>
            </w:pPr>
          </w:p>
        </w:tc>
        <w:tc>
          <w:tcPr>
            <w:tcW w:w="349" w:type="dxa"/>
            <w:gridSpan w:val="2"/>
            <w:vMerge w:val="continue"/>
            <w:shd w:val="clear" w:color="auto" w:fill="FDE9D9" w:themeFill="accent6" w:themeFillTint="33"/>
            <w:vAlign w:val="center"/>
          </w:tcPr>
          <w:p>
            <w:pPr>
              <w:jc w:val="center"/>
              <w:rPr>
                <w:rFonts w:ascii="仿宋_GB2312" w:hAnsi="宋体" w:eastAsia="仿宋_GB2312"/>
                <w:szCs w:val="21"/>
              </w:rPr>
            </w:pPr>
          </w:p>
        </w:tc>
        <w:tc>
          <w:tcPr>
            <w:tcW w:w="1634" w:type="dxa"/>
            <w:gridSpan w:val="2"/>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（3）后勤服务</w:t>
            </w:r>
          </w:p>
        </w:tc>
        <w:tc>
          <w:tcPr>
            <w:tcW w:w="1160" w:type="dxa"/>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调研人次</w:t>
            </w:r>
          </w:p>
        </w:tc>
        <w:tc>
          <w:tcPr>
            <w:tcW w:w="710" w:type="dxa"/>
            <w:shd w:val="clear" w:color="auto" w:fill="FDE9D9" w:themeFill="accent6" w:themeFillTint="33"/>
            <w:vAlign w:val="center"/>
          </w:tcPr>
          <w:p>
            <w:pPr>
              <w:jc w:val="center"/>
              <w:rPr>
                <w:rFonts w:ascii="仿宋_GB2312" w:hAnsi="宋体" w:eastAsia="仿宋_GB2312"/>
                <w:szCs w:val="21"/>
              </w:rPr>
            </w:pPr>
            <w:r>
              <w:rPr>
                <w:rFonts w:ascii="仿宋_GB2312" w:hAnsi="宋体" w:eastAsia="仿宋_GB2312"/>
                <w:szCs w:val="21"/>
              </w:rPr>
              <w:t>人次</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2545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1922</w:t>
            </w:r>
          </w:p>
        </w:tc>
        <w:tc>
          <w:tcPr>
            <w:tcW w:w="2330" w:type="dxa"/>
            <w:shd w:val="clear" w:color="auto" w:fill="FDE9D9" w:themeFill="accent6" w:themeFillTint="33"/>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 w:val="24"/>
              </w:rPr>
            </w:pPr>
          </w:p>
        </w:tc>
        <w:tc>
          <w:tcPr>
            <w:tcW w:w="491" w:type="dxa"/>
            <w:vMerge w:val="continue"/>
            <w:shd w:val="clear" w:color="auto" w:fill="FDE9D9" w:themeFill="accent6" w:themeFillTint="33"/>
          </w:tcPr>
          <w:p>
            <w:pPr>
              <w:jc w:val="center"/>
              <w:rPr>
                <w:rFonts w:ascii="仿宋_GB2312" w:hAnsi="宋体" w:eastAsia="仿宋_GB2312"/>
                <w:sz w:val="24"/>
              </w:rPr>
            </w:pPr>
          </w:p>
        </w:tc>
        <w:tc>
          <w:tcPr>
            <w:tcW w:w="349" w:type="dxa"/>
            <w:gridSpan w:val="2"/>
            <w:vMerge w:val="continue"/>
            <w:shd w:val="clear" w:color="auto" w:fill="FDE9D9" w:themeFill="accent6" w:themeFillTint="33"/>
            <w:vAlign w:val="center"/>
          </w:tcPr>
          <w:p>
            <w:pPr>
              <w:jc w:val="center"/>
              <w:rPr>
                <w:rFonts w:ascii="仿宋_GB2312" w:hAnsi="宋体" w:eastAsia="仿宋_GB2312"/>
                <w:sz w:val="24"/>
              </w:rPr>
            </w:pPr>
          </w:p>
        </w:tc>
        <w:tc>
          <w:tcPr>
            <w:tcW w:w="1634" w:type="dxa"/>
            <w:gridSpan w:val="2"/>
            <w:vMerge w:val="continue"/>
            <w:shd w:val="clear" w:color="auto" w:fill="FDE9D9" w:themeFill="accent6" w:themeFillTint="33"/>
          </w:tcPr>
          <w:p>
            <w:pPr>
              <w:rPr>
                <w:rFonts w:ascii="仿宋_GB2312" w:hAnsi="宋体" w:eastAsia="仿宋_GB2312"/>
                <w:sz w:val="24"/>
              </w:rPr>
            </w:pPr>
          </w:p>
        </w:tc>
        <w:tc>
          <w:tcPr>
            <w:tcW w:w="1160" w:type="dxa"/>
            <w:shd w:val="clear" w:color="auto" w:fill="FDE9D9" w:themeFill="accent6" w:themeFillTint="33"/>
          </w:tcPr>
          <w:p>
            <w:pPr>
              <w:rPr>
                <w:rFonts w:ascii="仿宋_GB2312" w:hAnsi="宋体" w:eastAsia="仿宋_GB2312"/>
                <w:sz w:val="24"/>
              </w:rPr>
            </w:pPr>
            <w:r>
              <w:rPr>
                <w:rFonts w:hint="eastAsia" w:ascii="仿宋_GB2312" w:hAnsi="宋体" w:eastAsia="仿宋_GB2312"/>
                <w:sz w:val="24"/>
              </w:rPr>
              <w:t>满意度</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87.45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87.82</w:t>
            </w:r>
          </w:p>
        </w:tc>
        <w:tc>
          <w:tcPr>
            <w:tcW w:w="2330"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 w:val="24"/>
              </w:rPr>
            </w:pPr>
          </w:p>
        </w:tc>
        <w:tc>
          <w:tcPr>
            <w:tcW w:w="491" w:type="dxa"/>
            <w:vMerge w:val="continue"/>
            <w:shd w:val="clear" w:color="auto" w:fill="FDE9D9" w:themeFill="accent6" w:themeFillTint="33"/>
          </w:tcPr>
          <w:p>
            <w:pPr>
              <w:jc w:val="center"/>
              <w:rPr>
                <w:rFonts w:ascii="仿宋_GB2312" w:hAnsi="宋体" w:eastAsia="仿宋_GB2312"/>
                <w:sz w:val="24"/>
              </w:rPr>
            </w:pPr>
          </w:p>
        </w:tc>
        <w:tc>
          <w:tcPr>
            <w:tcW w:w="349" w:type="dxa"/>
            <w:gridSpan w:val="2"/>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5</w:t>
            </w:r>
          </w:p>
        </w:tc>
        <w:tc>
          <w:tcPr>
            <w:tcW w:w="279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学生参与志愿者活动时间</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人日</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143.65</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90.5</w:t>
            </w:r>
          </w:p>
        </w:tc>
        <w:tc>
          <w:tcPr>
            <w:tcW w:w="2330"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jc w:val="center"/>
              <w:rPr>
                <w:rFonts w:ascii="仿宋_GB2312" w:hAnsi="宋体" w:eastAsia="仿宋_GB2312"/>
                <w:sz w:val="24"/>
              </w:rPr>
            </w:pPr>
          </w:p>
        </w:tc>
        <w:tc>
          <w:tcPr>
            <w:tcW w:w="491" w:type="dxa"/>
            <w:vMerge w:val="continue"/>
            <w:shd w:val="clear" w:color="auto" w:fill="FDE9D9" w:themeFill="accent6" w:themeFillTint="33"/>
          </w:tcPr>
          <w:p>
            <w:pPr>
              <w:jc w:val="center"/>
              <w:rPr>
                <w:rFonts w:ascii="仿宋_GB2312" w:hAnsi="宋体" w:eastAsia="仿宋_GB2312"/>
                <w:sz w:val="24"/>
              </w:rPr>
            </w:pPr>
          </w:p>
        </w:tc>
        <w:tc>
          <w:tcPr>
            <w:tcW w:w="349" w:type="dxa"/>
            <w:gridSpan w:val="2"/>
            <w:vMerge w:val="restart"/>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6</w:t>
            </w:r>
          </w:p>
        </w:tc>
        <w:tc>
          <w:tcPr>
            <w:tcW w:w="2794" w:type="dxa"/>
            <w:gridSpan w:val="3"/>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学生社团参与度</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w:t>
            </w:r>
          </w:p>
        </w:tc>
        <w:tc>
          <w:tcPr>
            <w:tcW w:w="810" w:type="dxa"/>
            <w:shd w:val="clear" w:color="auto" w:fill="FDE9D9" w:themeFill="accent6" w:themeFillTint="33"/>
            <w:vAlign w:val="center"/>
          </w:tcPr>
          <w:p>
            <w:pPr>
              <w:jc w:val="center"/>
              <w:rPr>
                <w:rFonts w:ascii="楷体" w:hAnsi="楷体" w:eastAsia="楷体"/>
                <w:szCs w:val="21"/>
              </w:rPr>
            </w:pPr>
          </w:p>
        </w:tc>
        <w:tc>
          <w:tcPr>
            <w:tcW w:w="800" w:type="dxa"/>
            <w:shd w:val="clear" w:color="auto" w:fill="FDE9D9" w:themeFill="accent6" w:themeFillTint="33"/>
            <w:vAlign w:val="center"/>
          </w:tcPr>
          <w:p>
            <w:pPr>
              <w:jc w:val="center"/>
              <w:rPr>
                <w:rFonts w:ascii="楷体" w:hAnsi="楷体" w:eastAsia="楷体"/>
                <w:szCs w:val="21"/>
              </w:rPr>
            </w:pPr>
          </w:p>
        </w:tc>
        <w:tc>
          <w:tcPr>
            <w:tcW w:w="2330"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rPr>
                <w:rFonts w:ascii="仿宋_GB2312" w:hAnsi="宋体" w:eastAsia="仿宋_GB2312"/>
                <w:sz w:val="24"/>
              </w:rPr>
            </w:pPr>
          </w:p>
        </w:tc>
        <w:tc>
          <w:tcPr>
            <w:tcW w:w="491" w:type="dxa"/>
            <w:vMerge w:val="continue"/>
            <w:shd w:val="clear" w:color="auto" w:fill="FDE9D9" w:themeFill="accent6" w:themeFillTint="33"/>
          </w:tcPr>
          <w:p>
            <w:pPr>
              <w:rPr>
                <w:rFonts w:ascii="仿宋_GB2312" w:hAnsi="宋体" w:eastAsia="仿宋_GB2312"/>
                <w:sz w:val="24"/>
              </w:rPr>
            </w:pPr>
          </w:p>
        </w:tc>
        <w:tc>
          <w:tcPr>
            <w:tcW w:w="349" w:type="dxa"/>
            <w:gridSpan w:val="2"/>
            <w:vMerge w:val="continue"/>
            <w:shd w:val="clear" w:color="auto" w:fill="FDE9D9" w:themeFill="accent6" w:themeFillTint="33"/>
          </w:tcPr>
          <w:p>
            <w:pPr>
              <w:rPr>
                <w:rFonts w:ascii="仿宋_GB2312" w:hAnsi="宋体" w:eastAsia="仿宋_GB2312"/>
                <w:sz w:val="24"/>
              </w:rPr>
            </w:pPr>
          </w:p>
        </w:tc>
        <w:tc>
          <w:tcPr>
            <w:tcW w:w="627"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（1）</w:t>
            </w:r>
          </w:p>
        </w:tc>
        <w:tc>
          <w:tcPr>
            <w:tcW w:w="2167" w:type="dxa"/>
            <w:gridSpan w:val="2"/>
            <w:shd w:val="clear" w:color="auto" w:fill="FDE9D9" w:themeFill="accent6" w:themeFillTint="33"/>
          </w:tcPr>
          <w:p>
            <w:pPr>
              <w:rPr>
                <w:rFonts w:ascii="仿宋_GB2312" w:hAnsi="宋体" w:eastAsia="仿宋_GB2312"/>
                <w:szCs w:val="21"/>
              </w:rPr>
            </w:pPr>
            <w:r>
              <w:rPr>
                <w:rFonts w:hint="eastAsia" w:ascii="仿宋_GB2312" w:hAnsi="宋体" w:eastAsia="仿宋_GB2312"/>
                <w:szCs w:val="21"/>
              </w:rPr>
              <w:t>学生社团数</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个</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21</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21</w:t>
            </w:r>
          </w:p>
        </w:tc>
        <w:tc>
          <w:tcPr>
            <w:tcW w:w="2330"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800" w:type="dxa"/>
            <w:vMerge w:val="continue"/>
            <w:shd w:val="clear" w:color="auto" w:fill="FDE9D9" w:themeFill="accent6" w:themeFillTint="33"/>
          </w:tcPr>
          <w:p>
            <w:pPr>
              <w:rPr>
                <w:rFonts w:ascii="仿宋_GB2312" w:hAnsi="宋体" w:eastAsia="仿宋_GB2312"/>
                <w:sz w:val="24"/>
              </w:rPr>
            </w:pPr>
          </w:p>
        </w:tc>
        <w:tc>
          <w:tcPr>
            <w:tcW w:w="491" w:type="dxa"/>
            <w:vMerge w:val="continue"/>
            <w:shd w:val="clear" w:color="auto" w:fill="FDE9D9" w:themeFill="accent6" w:themeFillTint="33"/>
          </w:tcPr>
          <w:p>
            <w:pPr>
              <w:rPr>
                <w:rFonts w:ascii="仿宋_GB2312" w:hAnsi="宋体" w:eastAsia="仿宋_GB2312"/>
                <w:sz w:val="24"/>
              </w:rPr>
            </w:pPr>
          </w:p>
        </w:tc>
        <w:tc>
          <w:tcPr>
            <w:tcW w:w="349" w:type="dxa"/>
            <w:gridSpan w:val="2"/>
            <w:vMerge w:val="continue"/>
            <w:shd w:val="clear" w:color="auto" w:fill="FDE9D9" w:themeFill="accent6" w:themeFillTint="33"/>
          </w:tcPr>
          <w:p>
            <w:pPr>
              <w:rPr>
                <w:rFonts w:ascii="仿宋_GB2312" w:hAnsi="宋体" w:eastAsia="仿宋_GB2312"/>
                <w:sz w:val="24"/>
              </w:rPr>
            </w:pPr>
          </w:p>
        </w:tc>
        <w:tc>
          <w:tcPr>
            <w:tcW w:w="627" w:type="dxa"/>
            <w:vMerge w:val="continue"/>
            <w:shd w:val="clear" w:color="auto" w:fill="FDE9D9" w:themeFill="accent6" w:themeFillTint="33"/>
          </w:tcPr>
          <w:p>
            <w:pPr>
              <w:ind w:firstLine="420" w:firstLineChars="200"/>
              <w:rPr>
                <w:rFonts w:ascii="仿宋_GB2312" w:hAnsi="宋体" w:eastAsia="仿宋_GB2312"/>
                <w:szCs w:val="21"/>
              </w:rPr>
            </w:pPr>
          </w:p>
        </w:tc>
        <w:tc>
          <w:tcPr>
            <w:tcW w:w="2167" w:type="dxa"/>
            <w:gridSpan w:val="2"/>
            <w:shd w:val="clear" w:color="auto" w:fill="FDE9D9" w:themeFill="accent6" w:themeFillTint="33"/>
          </w:tcPr>
          <w:p>
            <w:pPr>
              <w:ind w:firstLine="210" w:firstLineChars="100"/>
              <w:rPr>
                <w:rFonts w:ascii="仿宋_GB2312" w:hAnsi="宋体" w:eastAsia="仿宋_GB2312"/>
                <w:szCs w:val="21"/>
              </w:rPr>
            </w:pPr>
            <w:r>
              <w:rPr>
                <w:rFonts w:hint="eastAsia" w:ascii="仿宋_GB2312" w:hAnsi="宋体" w:eastAsia="仿宋_GB2312"/>
                <w:szCs w:val="21"/>
              </w:rPr>
              <w:t>其中：科技社团数</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个</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w:t>
            </w:r>
          </w:p>
        </w:tc>
        <w:tc>
          <w:tcPr>
            <w:tcW w:w="2330" w:type="dxa"/>
            <w:shd w:val="clear" w:color="auto" w:fill="FDE9D9" w:themeFill="accent6" w:themeFillTint="3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 w:hRule="atLeast"/>
          <w:jc w:val="center"/>
        </w:trPr>
        <w:tc>
          <w:tcPr>
            <w:tcW w:w="800" w:type="dxa"/>
            <w:vMerge w:val="continue"/>
            <w:shd w:val="clear" w:color="auto" w:fill="FDE9D9" w:themeFill="accent6" w:themeFillTint="33"/>
          </w:tcPr>
          <w:p>
            <w:pPr>
              <w:rPr>
                <w:rFonts w:ascii="仿宋_GB2312" w:hAnsi="宋体" w:eastAsia="仿宋_GB2312"/>
                <w:sz w:val="24"/>
              </w:rPr>
            </w:pPr>
          </w:p>
        </w:tc>
        <w:tc>
          <w:tcPr>
            <w:tcW w:w="491" w:type="dxa"/>
            <w:vMerge w:val="continue"/>
            <w:shd w:val="clear" w:color="auto" w:fill="FDE9D9" w:themeFill="accent6" w:themeFillTint="33"/>
          </w:tcPr>
          <w:p>
            <w:pPr>
              <w:rPr>
                <w:rFonts w:ascii="仿宋_GB2312" w:hAnsi="宋体" w:eastAsia="仿宋_GB2312"/>
                <w:sz w:val="24"/>
              </w:rPr>
            </w:pPr>
          </w:p>
        </w:tc>
        <w:tc>
          <w:tcPr>
            <w:tcW w:w="349" w:type="dxa"/>
            <w:gridSpan w:val="2"/>
            <w:vMerge w:val="continue"/>
            <w:shd w:val="clear" w:color="auto" w:fill="FDE9D9" w:themeFill="accent6" w:themeFillTint="33"/>
          </w:tcPr>
          <w:p>
            <w:pPr>
              <w:rPr>
                <w:rFonts w:ascii="仿宋_GB2312" w:hAnsi="宋体" w:eastAsia="仿宋_GB2312"/>
                <w:sz w:val="24"/>
              </w:rPr>
            </w:pPr>
          </w:p>
        </w:tc>
        <w:tc>
          <w:tcPr>
            <w:tcW w:w="627" w:type="dxa"/>
            <w:vMerge w:val="restart"/>
            <w:shd w:val="clear" w:color="auto" w:fill="FDE9D9" w:themeFill="accent6" w:themeFillTint="33"/>
            <w:vAlign w:val="center"/>
          </w:tcPr>
          <w:p>
            <w:pPr>
              <w:jc w:val="center"/>
              <w:rPr>
                <w:rFonts w:ascii="仿宋_GB2312" w:hAnsi="宋体" w:eastAsia="仿宋_GB2312"/>
                <w:szCs w:val="21"/>
              </w:rPr>
            </w:pPr>
            <w:r>
              <w:rPr>
                <w:rFonts w:hint="eastAsia" w:ascii="仿宋_GB2312" w:hAnsi="宋体" w:eastAsia="仿宋_GB2312"/>
                <w:szCs w:val="21"/>
              </w:rPr>
              <w:t>（2）</w:t>
            </w:r>
          </w:p>
        </w:tc>
        <w:tc>
          <w:tcPr>
            <w:tcW w:w="2167" w:type="dxa"/>
            <w:gridSpan w:val="2"/>
            <w:shd w:val="clear" w:color="auto" w:fill="FDE9D9" w:themeFill="accent6" w:themeFillTint="33"/>
            <w:vAlign w:val="center"/>
          </w:tcPr>
          <w:p>
            <w:pPr>
              <w:jc w:val="left"/>
              <w:rPr>
                <w:rFonts w:ascii="仿宋_GB2312" w:hAnsi="宋体" w:eastAsia="仿宋_GB2312"/>
                <w:szCs w:val="21"/>
              </w:rPr>
            </w:pPr>
            <w:r>
              <w:rPr>
                <w:rFonts w:hint="eastAsia" w:ascii="仿宋_GB2312" w:hAnsi="宋体" w:eastAsia="仿宋_GB2312"/>
                <w:szCs w:val="21"/>
              </w:rPr>
              <w:t>参与各社团的学生人数</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人</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3024</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1174</w:t>
            </w:r>
          </w:p>
        </w:tc>
        <w:tc>
          <w:tcPr>
            <w:tcW w:w="2330" w:type="dxa"/>
            <w:vMerge w:val="restart"/>
            <w:shd w:val="clear" w:color="auto" w:fill="FDE9D9" w:themeFill="accent6" w:themeFillTint="33"/>
          </w:tcPr>
          <w:p>
            <w:pPr>
              <w:rPr>
                <w:sz w:val="15"/>
                <w:szCs w:val="15"/>
              </w:rPr>
            </w:pPr>
            <w:r>
              <w:rPr>
                <w:rFonts w:hint="eastAsia" w:ascii="仿宋_GB2312" w:hAnsi="宋体" w:eastAsia="仿宋_GB2312"/>
                <w:sz w:val="15"/>
                <w:szCs w:val="15"/>
              </w:rPr>
              <w:t>轮滑协会178人、茶艺协会143人、电竞协会406人、动漫协会232人、演讲协会103人、凤凰文学社230人、鬼曳社团205人、街舞协会318人、拉丁舞协会199人、器乐协会284人、跆拳道协会216人、武术协会172人、滑板协会159人、足球协会90人、羽毛球协会85人、乒乓球协会70人、篮球协会118人、英语协会223人、书画协会185人、青年志愿者联合会450、人</w:t>
            </w:r>
          </w:p>
          <w:p>
            <w:pPr>
              <w:rPr>
                <w:rFonts w:ascii="仿宋_GB2312" w:hAnsi="宋体" w:eastAsia="仿宋_GB2312"/>
                <w:szCs w:val="21"/>
              </w:rPr>
            </w:pPr>
            <w:r>
              <w:rPr>
                <w:rFonts w:ascii="仿宋_GB2312" w:hAnsi="宋体" w:eastAsia="仿宋_GB2312"/>
                <w:sz w:val="15"/>
                <w:szCs w:val="15"/>
              </w:rPr>
              <w:t>计算机协会</w:t>
            </w:r>
            <w:r>
              <w:rPr>
                <w:rFonts w:hint="eastAsia" w:ascii="仿宋_GB2312" w:hAnsi="宋体" w:eastAsia="仿宋_GB2312"/>
                <w:sz w:val="15"/>
                <w:szCs w:val="15"/>
              </w:rPr>
              <w:t>132人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7" w:hRule="atLeast"/>
          <w:jc w:val="center"/>
        </w:trPr>
        <w:tc>
          <w:tcPr>
            <w:tcW w:w="800" w:type="dxa"/>
            <w:vMerge w:val="continue"/>
            <w:shd w:val="clear" w:color="auto" w:fill="FDE9D9" w:themeFill="accent6" w:themeFillTint="33"/>
          </w:tcPr>
          <w:p>
            <w:pPr>
              <w:jc w:val="center"/>
            </w:pPr>
          </w:p>
        </w:tc>
        <w:tc>
          <w:tcPr>
            <w:tcW w:w="491" w:type="dxa"/>
            <w:vMerge w:val="continue"/>
            <w:shd w:val="clear" w:color="auto" w:fill="FDE9D9" w:themeFill="accent6" w:themeFillTint="33"/>
          </w:tcPr>
          <w:p>
            <w:pPr>
              <w:jc w:val="center"/>
            </w:pPr>
          </w:p>
        </w:tc>
        <w:tc>
          <w:tcPr>
            <w:tcW w:w="349" w:type="dxa"/>
            <w:gridSpan w:val="2"/>
            <w:vMerge w:val="continue"/>
            <w:shd w:val="clear" w:color="auto" w:fill="FDE9D9" w:themeFill="accent6" w:themeFillTint="33"/>
          </w:tcPr>
          <w:p>
            <w:pPr>
              <w:jc w:val="center"/>
            </w:pPr>
          </w:p>
        </w:tc>
        <w:tc>
          <w:tcPr>
            <w:tcW w:w="627" w:type="dxa"/>
            <w:vMerge w:val="continue"/>
            <w:shd w:val="clear" w:color="auto" w:fill="FDE9D9" w:themeFill="accent6" w:themeFillTint="33"/>
            <w:vAlign w:val="center"/>
          </w:tcPr>
          <w:p>
            <w:pPr>
              <w:jc w:val="center"/>
              <w:rPr>
                <w:szCs w:val="21"/>
              </w:rPr>
            </w:pPr>
          </w:p>
        </w:tc>
        <w:tc>
          <w:tcPr>
            <w:tcW w:w="2167" w:type="dxa"/>
            <w:gridSpan w:val="2"/>
            <w:shd w:val="clear" w:color="auto" w:fill="FDE9D9" w:themeFill="accent6" w:themeFillTint="33"/>
            <w:vAlign w:val="center"/>
          </w:tcPr>
          <w:p>
            <w:pPr>
              <w:ind w:firstLine="210" w:firstLineChars="100"/>
              <w:jc w:val="left"/>
              <w:rPr>
                <w:rFonts w:ascii="仿宋_GB2312" w:hAnsi="宋体" w:eastAsia="仿宋_GB2312"/>
                <w:szCs w:val="21"/>
              </w:rPr>
            </w:pPr>
            <w:r>
              <w:rPr>
                <w:rFonts w:hint="eastAsia" w:ascii="仿宋_GB2312" w:hAnsi="宋体" w:eastAsia="仿宋_GB2312"/>
                <w:szCs w:val="21"/>
              </w:rPr>
              <w:t>其中：科技社团学生人数</w:t>
            </w:r>
          </w:p>
        </w:tc>
        <w:tc>
          <w:tcPr>
            <w:tcW w:w="710" w:type="dxa"/>
            <w:shd w:val="clear" w:color="auto" w:fill="FDE9D9" w:themeFill="accent6" w:themeFillTint="33"/>
            <w:vAlign w:val="center"/>
          </w:tcPr>
          <w:p>
            <w:pPr>
              <w:jc w:val="center"/>
              <w:rPr>
                <w:rFonts w:ascii="仿宋_GB2312" w:hAnsi="宋体" w:eastAsia="仿宋_GB2312"/>
                <w:sz w:val="24"/>
              </w:rPr>
            </w:pPr>
            <w:r>
              <w:rPr>
                <w:rFonts w:hint="eastAsia" w:ascii="仿宋_GB2312" w:hAnsi="宋体" w:eastAsia="仿宋_GB2312"/>
                <w:sz w:val="24"/>
              </w:rPr>
              <w:t>人</w:t>
            </w:r>
          </w:p>
        </w:tc>
        <w:tc>
          <w:tcPr>
            <w:tcW w:w="81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58</w:t>
            </w:r>
          </w:p>
        </w:tc>
        <w:tc>
          <w:tcPr>
            <w:tcW w:w="800" w:type="dxa"/>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74</w:t>
            </w:r>
          </w:p>
        </w:tc>
        <w:tc>
          <w:tcPr>
            <w:tcW w:w="2330" w:type="dxa"/>
            <w:vMerge w:val="continue"/>
            <w:shd w:val="clear" w:color="auto" w:fill="FDE9D9" w:themeFill="accent6" w:themeFillTint="33"/>
          </w:tcPr>
          <w:p>
            <w:pPr>
              <w:jc w:val="center"/>
              <w:rPr>
                <w:rFonts w:ascii="仿宋_GB2312" w:hAnsi="宋体" w:eastAsia="仿宋_GB2312"/>
                <w:sz w:val="24"/>
              </w:rPr>
            </w:pPr>
          </w:p>
        </w:tc>
      </w:tr>
    </w:tbl>
    <w:p>
      <w:pPr>
        <w:rPr>
          <w:rFonts w:hint="eastAsia"/>
        </w:rPr>
      </w:pPr>
      <w:r>
        <w:rPr>
          <w:rFonts w:hint="eastAsia"/>
        </w:rPr>
        <w:t xml:space="preserve">  </w:t>
      </w:r>
      <w:bookmarkStart w:id="146" w:name="_Toc22219"/>
    </w:p>
    <w:p>
      <w:pPr>
        <w:pStyle w:val="46"/>
        <w:spacing w:before="156" w:after="156"/>
        <w:ind w:firstLine="3600" w:firstLineChars="1000"/>
      </w:pPr>
      <w:r>
        <w:rPr>
          <w:rFonts w:hint="eastAsia"/>
        </w:rPr>
        <w:t>表3  资源表</w:t>
      </w:r>
      <w:bookmarkEnd w:id="146"/>
    </w:p>
    <w:tbl>
      <w:tblPr>
        <w:tblStyle w:val="20"/>
        <w:tblW w:w="9293" w:type="dxa"/>
        <w:jc w:val="center"/>
        <w:tblInd w:w="0" w:type="dxa"/>
        <w:tblLayout w:type="fixed"/>
        <w:tblCellMar>
          <w:top w:w="0" w:type="dxa"/>
          <w:left w:w="108" w:type="dxa"/>
          <w:bottom w:w="0" w:type="dxa"/>
          <w:right w:w="108" w:type="dxa"/>
        </w:tblCellMar>
      </w:tblPr>
      <w:tblGrid>
        <w:gridCol w:w="865"/>
        <w:gridCol w:w="803"/>
        <w:gridCol w:w="558"/>
        <w:gridCol w:w="804"/>
        <w:gridCol w:w="2350"/>
        <w:gridCol w:w="1084"/>
        <w:gridCol w:w="1394"/>
        <w:gridCol w:w="1435"/>
      </w:tblGrid>
      <w:tr>
        <w:tblPrEx>
          <w:tblLayout w:type="fixed"/>
          <w:tblCellMar>
            <w:top w:w="0" w:type="dxa"/>
            <w:left w:w="108" w:type="dxa"/>
            <w:bottom w:w="0" w:type="dxa"/>
            <w:right w:w="108" w:type="dxa"/>
          </w:tblCellMar>
        </w:tblPrEx>
        <w:trPr>
          <w:trHeight w:val="113"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院校</w:t>
            </w:r>
          </w:p>
          <w:p>
            <w:pPr>
              <w:jc w:val="center"/>
              <w:rPr>
                <w:rFonts w:ascii="黑体" w:hAnsi="黑体" w:eastAsia="黑体"/>
                <w:b/>
                <w:szCs w:val="21"/>
              </w:rPr>
            </w:pPr>
            <w:r>
              <w:rPr>
                <w:rFonts w:hint="eastAsia" w:ascii="黑体" w:hAnsi="黑体" w:eastAsia="黑体"/>
                <w:b/>
                <w:szCs w:val="21"/>
              </w:rPr>
              <w:t>代码</w:t>
            </w:r>
          </w:p>
        </w:tc>
        <w:tc>
          <w:tcPr>
            <w:tcW w:w="803" w:type="dxa"/>
            <w:tcBorders>
              <w:top w:val="single" w:color="auto" w:sz="4" w:space="0"/>
              <w:left w:val="nil"/>
              <w:bottom w:val="single" w:color="auto" w:sz="4" w:space="0"/>
              <w:right w:val="single" w:color="auto" w:sz="4" w:space="0"/>
            </w:tcBorders>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院校</w:t>
            </w:r>
          </w:p>
          <w:p>
            <w:pPr>
              <w:jc w:val="center"/>
              <w:rPr>
                <w:rFonts w:ascii="黑体" w:hAnsi="黑体" w:eastAsia="黑体"/>
                <w:b/>
                <w:szCs w:val="21"/>
              </w:rPr>
            </w:pPr>
            <w:r>
              <w:rPr>
                <w:rFonts w:hint="eastAsia" w:ascii="黑体" w:hAnsi="黑体" w:eastAsia="黑体"/>
                <w:b/>
                <w:szCs w:val="21"/>
              </w:rPr>
              <w:t>名称</w:t>
            </w:r>
          </w:p>
        </w:tc>
        <w:tc>
          <w:tcPr>
            <w:tcW w:w="3712" w:type="dxa"/>
            <w:gridSpan w:val="3"/>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指标</w:t>
            </w:r>
          </w:p>
        </w:tc>
        <w:tc>
          <w:tcPr>
            <w:tcW w:w="1084"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单位</w:t>
            </w:r>
          </w:p>
        </w:tc>
        <w:tc>
          <w:tcPr>
            <w:tcW w:w="1394"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2018年</w:t>
            </w:r>
          </w:p>
        </w:tc>
        <w:tc>
          <w:tcPr>
            <w:tcW w:w="1435"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2019年</w:t>
            </w:r>
          </w:p>
        </w:tc>
      </w:tr>
      <w:tr>
        <w:tblPrEx>
          <w:tblLayout w:type="fixed"/>
          <w:tblCellMar>
            <w:top w:w="0" w:type="dxa"/>
            <w:left w:w="108" w:type="dxa"/>
            <w:bottom w:w="0" w:type="dxa"/>
            <w:right w:w="108" w:type="dxa"/>
          </w:tblCellMar>
        </w:tblPrEx>
        <w:trPr>
          <w:trHeight w:val="454" w:hRule="atLeast"/>
          <w:jc w:val="center"/>
        </w:trPr>
        <w:tc>
          <w:tcPr>
            <w:tcW w:w="865" w:type="dxa"/>
            <w:vMerge w:val="restart"/>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14121</w:t>
            </w:r>
          </w:p>
        </w:tc>
        <w:tc>
          <w:tcPr>
            <w:tcW w:w="803" w:type="dxa"/>
            <w:vMerge w:val="restart"/>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湖南都市职业学 院</w:t>
            </w: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1</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生师比</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18.14</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18.32</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2</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双师素质专任教师比例</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39.13</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40.33</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3</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高级专业技术职务专任教师比例</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25.4</w:t>
            </w:r>
            <w:r>
              <w:rPr>
                <w:rFonts w:hint="eastAsia" w:ascii="楷体" w:hAnsi="楷体" w:eastAsia="楷体"/>
                <w:szCs w:val="21"/>
              </w:rPr>
              <w:t>0</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22.87</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4</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生均教学科研仪器设备值</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元/生</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4661.99</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4383.7</w:t>
            </w:r>
            <w:r>
              <w:rPr>
                <w:rFonts w:hint="eastAsia" w:ascii="楷体" w:hAnsi="楷体" w:eastAsia="楷体"/>
                <w:szCs w:val="21"/>
              </w:rPr>
              <w:t>3</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5</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生均教学及辅助、行政办公用房面积</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m</w:t>
            </w:r>
            <w:r>
              <w:rPr>
                <w:rFonts w:hint="eastAsia" w:ascii="楷体" w:hAnsi="楷体" w:eastAsia="楷体"/>
                <w:szCs w:val="21"/>
                <w:vertAlign w:val="superscript"/>
              </w:rPr>
              <w:t>2</w:t>
            </w:r>
            <w:r>
              <w:rPr>
                <w:rFonts w:hint="eastAsia" w:ascii="楷体" w:hAnsi="楷体" w:eastAsia="楷体"/>
                <w:szCs w:val="21"/>
              </w:rPr>
              <w:t>/生</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12.59</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12.83</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6</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生均校内实践教学工位数</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个/生</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0.42</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0.3</w:t>
            </w:r>
            <w:r>
              <w:rPr>
                <w:rFonts w:hint="eastAsia" w:ascii="楷体" w:hAnsi="楷体" w:eastAsia="楷体"/>
                <w:szCs w:val="21"/>
              </w:rPr>
              <w:t>6</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7</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地市级以上科技平台数</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个</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0</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0</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vMerge w:val="restart"/>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8</w:t>
            </w:r>
          </w:p>
        </w:tc>
        <w:tc>
          <w:tcPr>
            <w:tcW w:w="3154"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教学计划内课程总数</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门</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519</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578</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vMerge w:val="continue"/>
            <w:tcBorders>
              <w:left w:val="nil"/>
              <w:right w:val="single" w:color="auto" w:sz="4" w:space="0"/>
            </w:tcBorders>
            <w:shd w:val="clear" w:color="auto" w:fill="FDE9D9" w:themeFill="accent6" w:themeFillTint="33"/>
            <w:noWrap/>
            <w:vAlign w:val="center"/>
          </w:tcPr>
          <w:p>
            <w:pPr>
              <w:jc w:val="center"/>
              <w:rPr>
                <w:rFonts w:ascii="楷体" w:hAnsi="楷体" w:eastAsia="楷体"/>
                <w:szCs w:val="21"/>
              </w:rPr>
            </w:pPr>
          </w:p>
        </w:tc>
        <w:tc>
          <w:tcPr>
            <w:tcW w:w="804" w:type="dxa"/>
            <w:vMerge w:val="restart"/>
            <w:tcBorders>
              <w:top w:val="single" w:color="auto" w:sz="4" w:space="0"/>
              <w:left w:val="nil"/>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其中：</w:t>
            </w:r>
          </w:p>
        </w:tc>
        <w:tc>
          <w:tcPr>
            <w:tcW w:w="2350"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线上开设课程数</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门</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56</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13</w:t>
            </w:r>
          </w:p>
        </w:tc>
      </w:tr>
      <w:tr>
        <w:tblPrEx>
          <w:tblLayout w:type="fixed"/>
          <w:tblCellMar>
            <w:top w:w="0" w:type="dxa"/>
            <w:left w:w="108" w:type="dxa"/>
            <w:bottom w:w="0" w:type="dxa"/>
            <w:right w:w="108" w:type="dxa"/>
          </w:tblCellMar>
        </w:tblPrEx>
        <w:trPr>
          <w:trHeight w:val="454"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58" w:type="dxa"/>
            <w:vMerge w:val="continue"/>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4" w:type="dxa"/>
            <w:vMerge w:val="continue"/>
            <w:tcBorders>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2350"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widowControl/>
              <w:jc w:val="left"/>
              <w:textAlignment w:val="center"/>
              <w:rPr>
                <w:rFonts w:ascii="楷体" w:hAnsi="楷体" w:eastAsia="楷体"/>
                <w:szCs w:val="21"/>
              </w:rPr>
            </w:pPr>
            <w:r>
              <w:rPr>
                <w:rFonts w:ascii="楷体" w:hAnsi="楷体" w:eastAsia="楷体"/>
                <w:szCs w:val="21"/>
              </w:rPr>
              <w:t>线上课程课均学生数</w:t>
            </w:r>
          </w:p>
        </w:tc>
        <w:tc>
          <w:tcPr>
            <w:tcW w:w="1084" w:type="dxa"/>
            <w:tcBorders>
              <w:top w:val="single" w:color="auto" w:sz="4" w:space="0"/>
              <w:left w:val="nil"/>
              <w:bottom w:val="single" w:color="auto" w:sz="4" w:space="0"/>
              <w:right w:val="single" w:color="auto" w:sz="4" w:space="0"/>
            </w:tcBorders>
            <w:shd w:val="clear" w:color="auto" w:fill="FDE9D9" w:themeFill="accent6" w:themeFillTint="33"/>
            <w:vAlign w:val="center"/>
          </w:tcPr>
          <w:p>
            <w:pPr>
              <w:widowControl/>
              <w:jc w:val="center"/>
              <w:textAlignment w:val="center"/>
              <w:rPr>
                <w:rFonts w:ascii="楷体" w:hAnsi="楷体" w:eastAsia="楷体"/>
                <w:szCs w:val="21"/>
              </w:rPr>
            </w:pPr>
            <w:r>
              <w:rPr>
                <w:rFonts w:ascii="仿宋_GB2312" w:hAnsi="宋体" w:eastAsia="仿宋_GB2312" w:cs="仿宋_GB2312"/>
                <w:color w:val="000000"/>
                <w:kern w:val="0"/>
                <w:sz w:val="24"/>
              </w:rPr>
              <w:t>人</w:t>
            </w:r>
          </w:p>
        </w:tc>
        <w:tc>
          <w:tcPr>
            <w:tcW w:w="1394"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200</w:t>
            </w:r>
          </w:p>
        </w:tc>
        <w:tc>
          <w:tcPr>
            <w:tcW w:w="1435"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230</w:t>
            </w:r>
          </w:p>
        </w:tc>
      </w:tr>
      <w:tr>
        <w:tblPrEx>
          <w:tblLayout w:type="fixed"/>
          <w:tblCellMar>
            <w:top w:w="0" w:type="dxa"/>
            <w:left w:w="108" w:type="dxa"/>
            <w:bottom w:w="0" w:type="dxa"/>
            <w:right w:w="108" w:type="dxa"/>
          </w:tblCellMar>
        </w:tblPrEx>
        <w:trPr>
          <w:trHeight w:val="397" w:hRule="atLeast"/>
          <w:jc w:val="center"/>
        </w:trPr>
        <w:tc>
          <w:tcPr>
            <w:tcW w:w="865"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803" w:type="dxa"/>
            <w:vMerge w:val="continue"/>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7625" w:type="dxa"/>
            <w:gridSpan w:val="6"/>
            <w:tcBorders>
              <w:top w:val="single" w:color="auto" w:sz="4" w:space="0"/>
              <w:left w:val="nil"/>
              <w:bottom w:val="single" w:color="auto" w:sz="4" w:space="0"/>
              <w:right w:val="single" w:color="auto" w:sz="4" w:space="0"/>
            </w:tcBorders>
            <w:shd w:val="clear" w:color="auto" w:fill="FDE9D9" w:themeFill="accent6" w:themeFillTint="33"/>
            <w:noWrap/>
            <w:vAlign w:val="center"/>
          </w:tcPr>
          <w:p>
            <w:pPr>
              <w:spacing w:line="280" w:lineRule="exact"/>
              <w:jc w:val="center"/>
              <w:rPr>
                <w:rFonts w:ascii="楷体" w:hAnsi="楷体" w:eastAsia="楷体"/>
                <w:szCs w:val="21"/>
              </w:rPr>
            </w:pPr>
            <w:r>
              <w:rPr>
                <w:rFonts w:hint="eastAsia" w:ascii="楷体" w:hAnsi="楷体" w:eastAsia="楷体"/>
                <w:szCs w:val="21"/>
              </w:rPr>
              <w:t>学校类别（单选）：综合、师范、民族院校（√）</w:t>
            </w:r>
          </w:p>
          <w:p>
            <w:pPr>
              <w:spacing w:line="280" w:lineRule="exact"/>
              <w:jc w:val="center"/>
              <w:rPr>
                <w:rFonts w:ascii="楷体" w:hAnsi="楷体" w:eastAsia="楷体"/>
                <w:szCs w:val="21"/>
              </w:rPr>
            </w:pPr>
            <w:r>
              <w:rPr>
                <w:rFonts w:hint="eastAsia" w:ascii="楷体" w:hAnsi="楷体" w:eastAsia="楷体"/>
                <w:szCs w:val="21"/>
              </w:rPr>
              <w:t xml:space="preserve">           工科、农、林院校（）</w:t>
            </w:r>
          </w:p>
          <w:p>
            <w:pPr>
              <w:spacing w:line="280" w:lineRule="exact"/>
              <w:jc w:val="center"/>
              <w:rPr>
                <w:rFonts w:ascii="楷体" w:hAnsi="楷体" w:eastAsia="楷体"/>
                <w:szCs w:val="21"/>
              </w:rPr>
            </w:pPr>
            <w:r>
              <w:rPr>
                <w:rFonts w:hint="eastAsia" w:ascii="楷体" w:hAnsi="楷体" w:eastAsia="楷体"/>
                <w:szCs w:val="21"/>
              </w:rPr>
              <w:t xml:space="preserve">   医学院校（）</w:t>
            </w:r>
          </w:p>
          <w:p>
            <w:pPr>
              <w:spacing w:line="280" w:lineRule="exact"/>
              <w:jc w:val="center"/>
              <w:rPr>
                <w:rFonts w:ascii="楷体" w:hAnsi="楷体" w:eastAsia="楷体"/>
                <w:szCs w:val="21"/>
              </w:rPr>
            </w:pPr>
            <w:r>
              <w:rPr>
                <w:rFonts w:hint="eastAsia" w:ascii="楷体" w:hAnsi="楷体" w:eastAsia="楷体"/>
                <w:szCs w:val="21"/>
              </w:rPr>
              <w:t xml:space="preserve">               语文、财经、政法院校（）</w:t>
            </w:r>
          </w:p>
          <w:p>
            <w:pPr>
              <w:spacing w:line="280" w:lineRule="exact"/>
              <w:jc w:val="center"/>
              <w:rPr>
                <w:rFonts w:ascii="楷体" w:hAnsi="楷体" w:eastAsia="楷体"/>
                <w:szCs w:val="21"/>
              </w:rPr>
            </w:pPr>
            <w:r>
              <w:rPr>
                <w:rFonts w:hint="eastAsia" w:ascii="楷体" w:hAnsi="楷体" w:eastAsia="楷体"/>
                <w:szCs w:val="21"/>
              </w:rPr>
              <w:t xml:space="preserve">   体育院校（）</w:t>
            </w:r>
          </w:p>
          <w:p>
            <w:pPr>
              <w:spacing w:line="280" w:lineRule="exact"/>
              <w:jc w:val="center"/>
              <w:rPr>
                <w:rFonts w:ascii="楷体" w:hAnsi="楷体" w:eastAsia="楷体"/>
                <w:szCs w:val="21"/>
              </w:rPr>
            </w:pPr>
            <w:r>
              <w:rPr>
                <w:rFonts w:hint="eastAsia" w:ascii="楷体" w:hAnsi="楷体" w:eastAsia="楷体"/>
                <w:szCs w:val="21"/>
              </w:rPr>
              <w:t xml:space="preserve">   艺术院校（）</w:t>
            </w:r>
          </w:p>
        </w:tc>
      </w:tr>
    </w:tbl>
    <w:p>
      <w:pPr>
        <w:pStyle w:val="50"/>
      </w:pPr>
    </w:p>
    <w:p>
      <w:pPr>
        <w:rPr>
          <w:rFonts w:hint="eastAsia" w:ascii="隶书" w:hAnsi="隶书" w:eastAsia="隶书" w:cs="隶书"/>
          <w:color w:val="000000"/>
          <w:sz w:val="36"/>
          <w:szCs w:val="36"/>
        </w:rPr>
      </w:pPr>
      <w:r>
        <w:rPr>
          <w:rFonts w:hint="eastAsia" w:ascii="隶书" w:hAnsi="隶书" w:eastAsia="隶书" w:cs="隶书"/>
          <w:color w:val="000000"/>
          <w:sz w:val="36"/>
          <w:szCs w:val="36"/>
        </w:rPr>
        <w:br w:type="page"/>
      </w:r>
    </w:p>
    <w:p>
      <w:pPr>
        <w:widowControl/>
        <w:snapToGrid w:val="0"/>
        <w:spacing w:line="400" w:lineRule="exact"/>
        <w:jc w:val="center"/>
        <w:rPr>
          <w:rFonts w:ascii="隶书" w:hAnsi="隶书" w:eastAsia="隶书" w:cs="隶书"/>
          <w:color w:val="000000"/>
          <w:sz w:val="36"/>
          <w:szCs w:val="36"/>
        </w:rPr>
      </w:pPr>
      <w:r>
        <w:rPr>
          <w:rFonts w:hint="eastAsia" w:ascii="隶书" w:hAnsi="隶书" w:eastAsia="隶书" w:cs="隶书"/>
          <w:color w:val="000000"/>
          <w:sz w:val="36"/>
          <w:szCs w:val="36"/>
        </w:rPr>
        <w:t>表4 国际影响表</w:t>
      </w:r>
    </w:p>
    <w:tbl>
      <w:tblPr>
        <w:tblStyle w:val="20"/>
        <w:tblW w:w="9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hemeFill="accent6" w:themeFillTint="33"/>
        <w:tblLayout w:type="fixed"/>
        <w:tblCellMar>
          <w:top w:w="0" w:type="dxa"/>
          <w:left w:w="108" w:type="dxa"/>
          <w:bottom w:w="0" w:type="dxa"/>
          <w:right w:w="108" w:type="dxa"/>
        </w:tblCellMar>
      </w:tblPr>
      <w:tblGrid>
        <w:gridCol w:w="746"/>
        <w:gridCol w:w="718"/>
        <w:gridCol w:w="368"/>
        <w:gridCol w:w="2772"/>
        <w:gridCol w:w="700"/>
        <w:gridCol w:w="1010"/>
        <w:gridCol w:w="1002"/>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hemeFill="accent6" w:themeFillTint="33"/>
          <w:tblLayout w:type="fixed"/>
          <w:tblCellMar>
            <w:top w:w="0" w:type="dxa"/>
            <w:left w:w="108" w:type="dxa"/>
            <w:bottom w:w="0" w:type="dxa"/>
            <w:right w:w="108" w:type="dxa"/>
          </w:tblCellMar>
        </w:tblPrEx>
        <w:trPr>
          <w:trHeight w:val="672" w:hRule="atLeast"/>
          <w:jc w:val="center"/>
        </w:trPr>
        <w:tc>
          <w:tcPr>
            <w:tcW w:w="746" w:type="dxa"/>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院校代码</w:t>
            </w:r>
          </w:p>
        </w:tc>
        <w:tc>
          <w:tcPr>
            <w:tcW w:w="718" w:type="dxa"/>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院校名称</w:t>
            </w:r>
          </w:p>
        </w:tc>
        <w:tc>
          <w:tcPr>
            <w:tcW w:w="3140" w:type="dxa"/>
            <w:gridSpan w:val="2"/>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指标</w:t>
            </w:r>
          </w:p>
        </w:tc>
        <w:tc>
          <w:tcPr>
            <w:tcW w:w="700" w:type="dxa"/>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单位</w:t>
            </w:r>
          </w:p>
        </w:tc>
        <w:tc>
          <w:tcPr>
            <w:tcW w:w="1010" w:type="dxa"/>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2018年</w:t>
            </w:r>
          </w:p>
        </w:tc>
        <w:tc>
          <w:tcPr>
            <w:tcW w:w="1002" w:type="dxa"/>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2019年</w:t>
            </w:r>
          </w:p>
        </w:tc>
        <w:tc>
          <w:tcPr>
            <w:tcW w:w="1730" w:type="dxa"/>
            <w:shd w:val="clear" w:color="auto" w:fill="D99594" w:themeFill="accent2" w:themeFillTint="99"/>
            <w:vAlign w:val="center"/>
          </w:tcPr>
          <w:p>
            <w:pPr>
              <w:widowControl/>
              <w:spacing w:line="360" w:lineRule="exact"/>
              <w:jc w:val="center"/>
              <w:rPr>
                <w:rFonts w:ascii="仿宋_GB2312" w:hAnsi="Cambria" w:eastAsia="仿宋_GB2312" w:cs="宋体"/>
                <w:b/>
                <w:bCs/>
                <w:kern w:val="0"/>
                <w:sz w:val="24"/>
              </w:rPr>
            </w:pPr>
            <w:r>
              <w:rPr>
                <w:rFonts w:hint="eastAsia" w:ascii="仿宋_GB2312" w:hAnsi="Cambria" w:eastAsia="仿宋_GB2312" w:cs="宋体"/>
                <w:b/>
                <w:bCs/>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restart"/>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p>
        </w:tc>
        <w:tc>
          <w:tcPr>
            <w:tcW w:w="718" w:type="dxa"/>
            <w:vMerge w:val="restart"/>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p>
        </w:tc>
        <w:tc>
          <w:tcPr>
            <w:tcW w:w="368"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1</w:t>
            </w:r>
          </w:p>
        </w:tc>
        <w:tc>
          <w:tcPr>
            <w:tcW w:w="2772" w:type="dxa"/>
            <w:shd w:val="clear" w:color="auto" w:fill="FDE9D9" w:themeFill="accent6" w:themeFillTint="33"/>
            <w:noWrap/>
            <w:vAlign w:val="center"/>
          </w:tcPr>
          <w:p>
            <w:pPr>
              <w:widowControl/>
              <w:spacing w:line="400" w:lineRule="exact"/>
              <w:jc w:val="left"/>
              <w:rPr>
                <w:rFonts w:ascii="仿宋_GB2312" w:hAnsi="Cambria" w:eastAsia="仿宋_GB2312" w:cs="宋体"/>
                <w:kern w:val="0"/>
                <w:sz w:val="24"/>
              </w:rPr>
            </w:pPr>
            <w:r>
              <w:rPr>
                <w:rFonts w:hint="eastAsia" w:ascii="仿宋_GB2312" w:hAnsi="Cambria" w:eastAsia="仿宋_GB2312" w:cs="宋体"/>
                <w:kern w:val="0"/>
                <w:sz w:val="24"/>
              </w:rPr>
              <w:t>国（境）外人员培训量</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人日</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730" w:type="dxa"/>
            <w:shd w:val="clear" w:color="auto" w:fill="FDE9D9" w:themeFill="accent6" w:themeFillTint="33"/>
            <w:vAlign w:val="center"/>
          </w:tcPr>
          <w:p>
            <w:pPr>
              <w:widowControl/>
              <w:spacing w:line="360" w:lineRule="exact"/>
              <w:jc w:val="center"/>
              <w:rPr>
                <w:rFonts w:ascii="仿宋_GB2312" w:hAnsi="Cambria" w:eastAsia="仿宋_GB2312" w:cs="宋体"/>
                <w:kern w:val="0"/>
                <w:sz w:val="24"/>
              </w:rPr>
            </w:pPr>
            <w:r>
              <w:rPr>
                <w:rFonts w:hint="eastAsia" w:ascii="仿宋_GB2312" w:hAnsi="Cambria" w:eastAsia="仿宋_GB2312"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2</w:t>
            </w:r>
          </w:p>
        </w:tc>
        <w:tc>
          <w:tcPr>
            <w:tcW w:w="2772" w:type="dxa"/>
            <w:shd w:val="clear" w:color="auto" w:fill="FDE9D9" w:themeFill="accent6" w:themeFillTint="33"/>
            <w:noWrap/>
            <w:vAlign w:val="center"/>
          </w:tcPr>
          <w:p>
            <w:pPr>
              <w:widowControl/>
              <w:spacing w:line="360" w:lineRule="exact"/>
              <w:jc w:val="left"/>
              <w:rPr>
                <w:rFonts w:ascii="仿宋_GB2312" w:hAnsi="Cambria" w:eastAsia="仿宋_GB2312" w:cs="宋体"/>
                <w:kern w:val="0"/>
                <w:sz w:val="24"/>
              </w:rPr>
            </w:pPr>
            <w:r>
              <w:rPr>
                <w:rFonts w:hint="eastAsia" w:ascii="仿宋_GB2312" w:hAnsi="Cambria" w:eastAsia="仿宋_GB2312" w:cs="宋体"/>
                <w:kern w:val="0"/>
                <w:sz w:val="24"/>
              </w:rPr>
              <w:t>在校生服务“走出去”企业国（境）外实习时间</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人日</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686</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750</w:t>
            </w:r>
          </w:p>
        </w:tc>
        <w:tc>
          <w:tcPr>
            <w:tcW w:w="1730" w:type="dxa"/>
            <w:shd w:val="clear" w:color="auto" w:fill="FDE9D9" w:themeFill="accent6" w:themeFillTint="33"/>
            <w:vAlign w:val="center"/>
          </w:tcPr>
          <w:p>
            <w:pPr>
              <w:widowControl/>
              <w:spacing w:line="360" w:lineRule="exact"/>
              <w:jc w:val="center"/>
              <w:rPr>
                <w:rFonts w:ascii="仿宋_GB2312" w:hAnsi="Cambria" w:eastAsia="仿宋_GB2312" w:cs="宋体"/>
                <w:kern w:val="0"/>
                <w:sz w:val="24"/>
              </w:rPr>
            </w:pPr>
            <w:r>
              <w:rPr>
                <w:rFonts w:hint="eastAsia" w:ascii="仿宋_GB2312" w:hAnsi="Cambria" w:eastAsia="仿宋_GB2312"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3</w:t>
            </w:r>
          </w:p>
        </w:tc>
        <w:tc>
          <w:tcPr>
            <w:tcW w:w="2772" w:type="dxa"/>
            <w:shd w:val="clear" w:color="auto" w:fill="FDE9D9" w:themeFill="accent6" w:themeFillTint="33"/>
            <w:noWrap/>
            <w:vAlign w:val="center"/>
          </w:tcPr>
          <w:p>
            <w:pPr>
              <w:widowControl/>
              <w:spacing w:line="360" w:lineRule="exact"/>
              <w:jc w:val="left"/>
              <w:rPr>
                <w:rFonts w:ascii="仿宋_GB2312" w:hAnsi="Cambria" w:eastAsia="仿宋_GB2312" w:cs="宋体"/>
                <w:kern w:val="0"/>
                <w:sz w:val="24"/>
              </w:rPr>
            </w:pPr>
            <w:r>
              <w:rPr>
                <w:rFonts w:hint="eastAsia" w:ascii="仿宋_GB2312" w:hAnsi="Cambria" w:eastAsia="仿宋_GB2312" w:cs="宋体"/>
                <w:kern w:val="0"/>
                <w:sz w:val="24"/>
              </w:rPr>
              <w:t>专任教师赴国（境）外指导和开展培训时间</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人日</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39</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45</w:t>
            </w:r>
          </w:p>
        </w:tc>
        <w:tc>
          <w:tcPr>
            <w:tcW w:w="1730" w:type="dxa"/>
            <w:shd w:val="clear" w:color="auto" w:fill="FDE9D9" w:themeFill="accent6" w:themeFillTint="33"/>
            <w:vAlign w:val="center"/>
          </w:tcPr>
          <w:p>
            <w:pPr>
              <w:widowControl/>
              <w:spacing w:line="360" w:lineRule="exact"/>
              <w:jc w:val="center"/>
              <w:rPr>
                <w:rFonts w:ascii="仿宋_GB2312" w:hAnsi="Cambria" w:eastAsia="仿宋_GB2312" w:cs="宋体"/>
                <w:kern w:val="0"/>
                <w:sz w:val="24"/>
              </w:rPr>
            </w:pPr>
            <w:r>
              <w:rPr>
                <w:rFonts w:hint="eastAsia" w:ascii="仿宋_GB2312" w:hAnsi="Cambria" w:eastAsia="仿宋_GB2312"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4</w:t>
            </w:r>
          </w:p>
        </w:tc>
        <w:tc>
          <w:tcPr>
            <w:tcW w:w="2772" w:type="dxa"/>
            <w:shd w:val="clear" w:color="auto" w:fill="FDE9D9" w:themeFill="accent6" w:themeFillTint="33"/>
            <w:noWrap/>
            <w:vAlign w:val="center"/>
          </w:tcPr>
          <w:p>
            <w:pPr>
              <w:widowControl/>
              <w:spacing w:line="400" w:lineRule="exact"/>
              <w:jc w:val="left"/>
              <w:rPr>
                <w:rFonts w:ascii="仿宋_GB2312" w:hAnsi="Cambria" w:eastAsia="仿宋_GB2312" w:cs="宋体"/>
                <w:kern w:val="0"/>
                <w:sz w:val="24"/>
              </w:rPr>
            </w:pPr>
            <w:r>
              <w:rPr>
                <w:rFonts w:hint="eastAsia" w:ascii="仿宋_GB2312" w:hAnsi="Cambria" w:eastAsia="仿宋_GB2312" w:cs="宋体"/>
                <w:kern w:val="0"/>
                <w:sz w:val="24"/>
              </w:rPr>
              <w:t>在国（境）外专业性组织担任职务的专任教师人数</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人</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1</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1</w:t>
            </w:r>
          </w:p>
        </w:tc>
        <w:tc>
          <w:tcPr>
            <w:tcW w:w="1730" w:type="dxa"/>
            <w:shd w:val="clear" w:color="auto" w:fill="FDE9D9" w:themeFill="accent6" w:themeFillTint="33"/>
          </w:tcPr>
          <w:p>
            <w:pPr>
              <w:widowControl/>
              <w:spacing w:line="320" w:lineRule="exact"/>
              <w:jc w:val="left"/>
              <w:rPr>
                <w:rFonts w:ascii="仿宋_GB2312" w:hAnsi="Cambria" w:eastAsia="仿宋_GB2312" w:cs="宋体"/>
                <w:kern w:val="0"/>
                <w:sz w:val="24"/>
              </w:rPr>
            </w:pPr>
            <w:r>
              <w:rPr>
                <w:rFonts w:hint="eastAsia" w:ascii="楷体" w:hAnsi="楷体" w:eastAsia="楷体"/>
                <w:sz w:val="18"/>
                <w:szCs w:val="18"/>
              </w:rPr>
              <w:t>陈爱平在日本美罗斯学校，担任特聘教授。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vMerge w:val="restart"/>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5</w:t>
            </w:r>
          </w:p>
          <w:p>
            <w:pPr>
              <w:widowControl/>
              <w:spacing w:line="400" w:lineRule="exact"/>
              <w:jc w:val="center"/>
              <w:rPr>
                <w:rFonts w:ascii="仿宋_GB2312" w:hAnsi="Cambria" w:eastAsia="仿宋_GB2312" w:cs="宋体"/>
                <w:kern w:val="0"/>
                <w:sz w:val="24"/>
              </w:rPr>
            </w:pPr>
          </w:p>
        </w:tc>
        <w:tc>
          <w:tcPr>
            <w:tcW w:w="2772" w:type="dxa"/>
            <w:shd w:val="clear" w:color="auto" w:fill="FDE9D9" w:themeFill="accent6" w:themeFillTint="33"/>
            <w:noWrap/>
            <w:vAlign w:val="center"/>
          </w:tcPr>
          <w:p>
            <w:pPr>
              <w:widowControl/>
              <w:spacing w:line="400" w:lineRule="exact"/>
              <w:jc w:val="left"/>
              <w:rPr>
                <w:rFonts w:ascii="仿宋_GB2312" w:hAnsi="Cambria" w:eastAsia="仿宋_GB2312" w:cs="宋体"/>
                <w:kern w:val="0"/>
                <w:sz w:val="24"/>
              </w:rPr>
            </w:pPr>
            <w:r>
              <w:rPr>
                <w:rFonts w:hint="eastAsia" w:ascii="仿宋_GB2312" w:hAnsi="Cambria" w:eastAsia="仿宋_GB2312" w:cs="宋体"/>
                <w:kern w:val="0"/>
                <w:sz w:val="24"/>
              </w:rPr>
              <w:t>开发并被国（境）外采用的专业教学标准数</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个</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730" w:type="dxa"/>
            <w:vMerge w:val="restart"/>
            <w:shd w:val="clear" w:color="auto" w:fill="FDE9D9" w:themeFill="accent6" w:themeFillTint="33"/>
          </w:tcPr>
          <w:p>
            <w:pPr>
              <w:widowControl/>
              <w:spacing w:line="320" w:lineRule="exact"/>
              <w:jc w:val="left"/>
              <w:rPr>
                <w:rFonts w:ascii="仿宋_GB2312" w:hAnsi="Cambria" w:eastAsia="仿宋_GB2312" w:cs="宋体"/>
                <w:kern w:val="0"/>
                <w:sz w:val="24"/>
              </w:rPr>
            </w:pPr>
          </w:p>
          <w:p>
            <w:pPr>
              <w:widowControl/>
              <w:spacing w:line="320" w:lineRule="exact"/>
              <w:jc w:val="left"/>
              <w:rPr>
                <w:rFonts w:ascii="仿宋_GB2312" w:hAnsi="Cambria" w:eastAsia="仿宋_GB2312" w:cs="宋体"/>
                <w:kern w:val="0"/>
                <w:sz w:val="24"/>
              </w:rPr>
            </w:pPr>
          </w:p>
          <w:p>
            <w:pPr>
              <w:widowControl/>
              <w:spacing w:line="320" w:lineRule="exact"/>
              <w:jc w:val="left"/>
              <w:rPr>
                <w:rFonts w:ascii="仿宋_GB2312" w:hAnsi="Cambria" w:eastAsia="仿宋_GB2312" w:cs="宋体"/>
                <w:kern w:val="0"/>
                <w:sz w:val="24"/>
              </w:rPr>
            </w:pPr>
          </w:p>
          <w:p>
            <w:pPr>
              <w:widowControl/>
              <w:spacing w:line="320" w:lineRule="exact"/>
              <w:ind w:firstLine="480" w:firstLineChars="200"/>
              <w:jc w:val="left"/>
              <w:rPr>
                <w:rFonts w:ascii="仿宋_GB2312" w:hAnsi="Cambria" w:eastAsia="仿宋_GB2312" w:cs="宋体"/>
                <w:kern w:val="0"/>
                <w:sz w:val="24"/>
              </w:rPr>
            </w:pPr>
            <w:r>
              <w:rPr>
                <w:rFonts w:hint="eastAsia" w:ascii="仿宋_GB2312" w:hAnsi="Cambria" w:eastAsia="仿宋_GB2312"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vMerge w:val="continue"/>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p>
        </w:tc>
        <w:tc>
          <w:tcPr>
            <w:tcW w:w="2772" w:type="dxa"/>
            <w:shd w:val="clear" w:color="auto" w:fill="FDE9D9" w:themeFill="accent6" w:themeFillTint="33"/>
            <w:noWrap/>
            <w:vAlign w:val="center"/>
          </w:tcPr>
          <w:p>
            <w:pPr>
              <w:widowControl/>
              <w:spacing w:line="400" w:lineRule="exact"/>
              <w:jc w:val="left"/>
              <w:rPr>
                <w:rFonts w:ascii="仿宋_GB2312" w:hAnsi="Cambria" w:eastAsia="仿宋_GB2312" w:cs="宋体"/>
                <w:kern w:val="0"/>
                <w:sz w:val="24"/>
              </w:rPr>
            </w:pPr>
            <w:r>
              <w:rPr>
                <w:rFonts w:hint="eastAsia" w:ascii="仿宋_GB2312" w:hAnsi="Cambria" w:eastAsia="仿宋_GB2312" w:cs="宋体"/>
                <w:kern w:val="0"/>
                <w:sz w:val="24"/>
              </w:rPr>
              <w:t>开发并被国（境）外采用的课程标准数</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个</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730" w:type="dxa"/>
            <w:vMerge w:val="continue"/>
            <w:shd w:val="clear" w:color="auto" w:fill="FDE9D9" w:themeFill="accent6" w:themeFillTint="33"/>
          </w:tcPr>
          <w:p>
            <w:pPr>
              <w:widowControl/>
              <w:spacing w:line="320" w:lineRule="exact"/>
              <w:jc w:val="left"/>
              <w:rPr>
                <w:rFonts w:ascii="仿宋_GB2312" w:hAnsi="Cambria"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6</w:t>
            </w:r>
          </w:p>
        </w:tc>
        <w:tc>
          <w:tcPr>
            <w:tcW w:w="2772" w:type="dxa"/>
            <w:shd w:val="clear" w:color="auto" w:fill="FDE9D9" w:themeFill="accent6" w:themeFillTint="33"/>
            <w:noWrap/>
            <w:vAlign w:val="center"/>
          </w:tcPr>
          <w:p>
            <w:pPr>
              <w:widowControl/>
              <w:spacing w:line="400" w:lineRule="exact"/>
              <w:jc w:val="left"/>
              <w:rPr>
                <w:rFonts w:ascii="仿宋_GB2312" w:hAnsi="Cambria" w:eastAsia="仿宋_GB2312" w:cs="宋体"/>
                <w:kern w:val="0"/>
                <w:sz w:val="24"/>
              </w:rPr>
            </w:pPr>
            <w:r>
              <w:rPr>
                <w:rFonts w:hint="eastAsia" w:ascii="仿宋_GB2312" w:hAnsi="Cambria" w:eastAsia="仿宋_GB2312" w:cs="宋体"/>
                <w:kern w:val="0"/>
                <w:sz w:val="24"/>
              </w:rPr>
              <w:t>国（境）外技能大赛获奖数量</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项</w:t>
            </w:r>
          </w:p>
        </w:tc>
        <w:tc>
          <w:tcPr>
            <w:tcW w:w="101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002"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4</w:t>
            </w:r>
          </w:p>
        </w:tc>
        <w:tc>
          <w:tcPr>
            <w:tcW w:w="1730" w:type="dxa"/>
            <w:shd w:val="clear" w:color="auto" w:fill="FDE9D9" w:themeFill="accent6" w:themeFillTint="33"/>
          </w:tcPr>
          <w:p>
            <w:pPr>
              <w:widowControl/>
              <w:spacing w:line="320" w:lineRule="exact"/>
              <w:jc w:val="left"/>
              <w:rPr>
                <w:rFonts w:ascii="仿宋_GB2312" w:hAnsi="Cambria" w:eastAsia="仿宋_GB2312" w:cs="宋体"/>
                <w:kern w:val="0"/>
                <w:sz w:val="18"/>
                <w:szCs w:val="18"/>
              </w:rPr>
            </w:pPr>
            <w:r>
              <w:rPr>
                <w:rFonts w:hint="eastAsia" w:ascii="楷体" w:hAnsi="楷体" w:eastAsia="楷体"/>
                <w:sz w:val="18"/>
                <w:szCs w:val="18"/>
              </w:rPr>
              <w:t>1、葛增旺、邓向阳、王思思、禹龙、袁骞珏五人获得第八届全国高等职业院校日语技能竞赛团体赛项特等奖。2、葛增旺获得第八届全国高等职业院校日语技能竞赛个人赛项三等奖。3、刘懿获得第八届全国高等职业院校日语技能竞赛个人赛项优秀奖。4、朱丹、付瑶、朱依三人获得第八届全国高等职业院校日语技能竞赛优秀指导教师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46"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718" w:type="dxa"/>
            <w:vMerge w:val="continue"/>
            <w:shd w:val="clear" w:color="auto" w:fill="FDE9D9" w:themeFill="accent6" w:themeFillTint="33"/>
            <w:vAlign w:val="center"/>
          </w:tcPr>
          <w:p>
            <w:pPr>
              <w:widowControl/>
              <w:spacing w:line="400" w:lineRule="exact"/>
              <w:jc w:val="left"/>
              <w:rPr>
                <w:rFonts w:ascii="仿宋_GB2312" w:hAnsi="Cambria" w:eastAsia="仿宋_GB2312" w:cs="宋体"/>
                <w:kern w:val="0"/>
                <w:sz w:val="24"/>
              </w:rPr>
            </w:pPr>
          </w:p>
        </w:tc>
        <w:tc>
          <w:tcPr>
            <w:tcW w:w="368"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7</w:t>
            </w:r>
          </w:p>
        </w:tc>
        <w:tc>
          <w:tcPr>
            <w:tcW w:w="2772" w:type="dxa"/>
            <w:shd w:val="clear" w:color="auto" w:fill="FDE9D9" w:themeFill="accent6" w:themeFillTint="33"/>
            <w:noWrap/>
            <w:vAlign w:val="center"/>
          </w:tcPr>
          <w:p>
            <w:pPr>
              <w:widowControl/>
              <w:spacing w:line="400" w:lineRule="exact"/>
              <w:jc w:val="left"/>
              <w:rPr>
                <w:rFonts w:ascii="仿宋_GB2312" w:hAnsi="Cambria" w:eastAsia="仿宋_GB2312" w:cs="宋体"/>
                <w:kern w:val="0"/>
                <w:sz w:val="24"/>
              </w:rPr>
            </w:pPr>
            <w:r>
              <w:rPr>
                <w:rFonts w:hint="eastAsia" w:ascii="仿宋_GB2312" w:hAnsi="Cambria" w:eastAsia="仿宋_GB2312" w:cs="宋体"/>
                <w:kern w:val="0"/>
                <w:sz w:val="24"/>
              </w:rPr>
              <w:t>国（境）外办学点数量</w:t>
            </w:r>
          </w:p>
        </w:tc>
        <w:tc>
          <w:tcPr>
            <w:tcW w:w="700" w:type="dxa"/>
            <w:shd w:val="clear" w:color="auto" w:fill="FDE9D9" w:themeFill="accent6" w:themeFillTint="33"/>
            <w:noWrap/>
            <w:vAlign w:val="center"/>
          </w:tcPr>
          <w:p>
            <w:pPr>
              <w:widowControl/>
              <w:spacing w:line="400" w:lineRule="exact"/>
              <w:jc w:val="center"/>
              <w:rPr>
                <w:rFonts w:ascii="仿宋_GB2312" w:hAnsi="Cambria" w:eastAsia="仿宋_GB2312" w:cs="宋体"/>
                <w:kern w:val="0"/>
                <w:sz w:val="24"/>
              </w:rPr>
            </w:pPr>
            <w:r>
              <w:rPr>
                <w:rFonts w:hint="eastAsia" w:ascii="仿宋_GB2312" w:hAnsi="Cambria" w:eastAsia="仿宋_GB2312" w:cs="宋体"/>
                <w:kern w:val="0"/>
                <w:sz w:val="24"/>
              </w:rPr>
              <w:t>个</w:t>
            </w:r>
          </w:p>
        </w:tc>
        <w:tc>
          <w:tcPr>
            <w:tcW w:w="1010" w:type="dxa"/>
            <w:shd w:val="clear" w:color="auto" w:fill="FDE9D9" w:themeFill="accent6" w:themeFillTint="33"/>
            <w:noWrap/>
          </w:tcPr>
          <w:p>
            <w:pPr>
              <w:widowControl/>
              <w:spacing w:line="36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002" w:type="dxa"/>
            <w:shd w:val="clear" w:color="auto" w:fill="FDE9D9" w:themeFill="accent6" w:themeFillTint="33"/>
            <w:noWrap/>
          </w:tcPr>
          <w:p>
            <w:pPr>
              <w:widowControl/>
              <w:spacing w:line="360" w:lineRule="exact"/>
              <w:jc w:val="center"/>
              <w:rPr>
                <w:rFonts w:ascii="仿宋_GB2312" w:hAnsi="Cambria" w:eastAsia="仿宋_GB2312" w:cs="宋体"/>
                <w:kern w:val="0"/>
                <w:sz w:val="24"/>
              </w:rPr>
            </w:pPr>
            <w:r>
              <w:rPr>
                <w:rFonts w:hint="eastAsia" w:ascii="仿宋_GB2312" w:hAnsi="Cambria" w:eastAsia="仿宋_GB2312" w:cs="宋体"/>
                <w:kern w:val="0"/>
                <w:sz w:val="24"/>
              </w:rPr>
              <w:t>0</w:t>
            </w:r>
          </w:p>
        </w:tc>
        <w:tc>
          <w:tcPr>
            <w:tcW w:w="1730" w:type="dxa"/>
            <w:shd w:val="clear" w:color="auto" w:fill="FDE9D9" w:themeFill="accent6" w:themeFillTint="33"/>
          </w:tcPr>
          <w:p>
            <w:pPr>
              <w:widowControl/>
              <w:spacing w:line="360" w:lineRule="exact"/>
              <w:jc w:val="left"/>
              <w:rPr>
                <w:rFonts w:ascii="仿宋_GB2312" w:hAnsi="Cambria" w:eastAsia="仿宋_GB2312" w:cs="宋体"/>
                <w:kern w:val="0"/>
                <w:sz w:val="24"/>
              </w:rPr>
            </w:pPr>
          </w:p>
        </w:tc>
      </w:tr>
    </w:tbl>
    <w:p/>
    <w:p>
      <w:pPr>
        <w:pStyle w:val="50"/>
      </w:pPr>
    </w:p>
    <w:p>
      <w:pPr>
        <w:pStyle w:val="46"/>
        <w:spacing w:before="156" w:after="156"/>
        <w:ind w:firstLine="3240" w:firstLineChars="900"/>
      </w:pPr>
      <w:bookmarkStart w:id="147" w:name="_Toc5642"/>
      <w:r>
        <w:rPr>
          <w:rFonts w:hint="eastAsia"/>
        </w:rPr>
        <w:t>表5  服务贡献表</w:t>
      </w:r>
      <w:bookmarkEnd w:id="147"/>
    </w:p>
    <w:tbl>
      <w:tblPr>
        <w:tblStyle w:val="20"/>
        <w:tblW w:w="9361" w:type="dxa"/>
        <w:jc w:val="center"/>
        <w:tblInd w:w="0" w:type="dxa"/>
        <w:tblLayout w:type="fixed"/>
        <w:tblCellMar>
          <w:top w:w="0" w:type="dxa"/>
          <w:left w:w="108" w:type="dxa"/>
          <w:bottom w:w="0" w:type="dxa"/>
          <w:right w:w="108" w:type="dxa"/>
        </w:tblCellMar>
      </w:tblPr>
      <w:tblGrid>
        <w:gridCol w:w="879"/>
        <w:gridCol w:w="861"/>
        <w:gridCol w:w="429"/>
        <w:gridCol w:w="509"/>
        <w:gridCol w:w="2629"/>
        <w:gridCol w:w="717"/>
        <w:gridCol w:w="1053"/>
        <w:gridCol w:w="1129"/>
        <w:gridCol w:w="1155"/>
      </w:tblGrid>
      <w:tr>
        <w:tblPrEx>
          <w:tblLayout w:type="fixed"/>
          <w:tblCellMar>
            <w:top w:w="0" w:type="dxa"/>
            <w:left w:w="108" w:type="dxa"/>
            <w:bottom w:w="0" w:type="dxa"/>
            <w:right w:w="108" w:type="dxa"/>
          </w:tblCellMar>
        </w:tblPrEx>
        <w:trPr>
          <w:trHeight w:val="407" w:hRule="atLeast"/>
          <w:jc w:val="center"/>
        </w:trPr>
        <w:tc>
          <w:tcPr>
            <w:tcW w:w="879"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rPr>
                <w:rFonts w:ascii="黑体" w:hAnsi="黑体" w:eastAsia="黑体"/>
                <w:b/>
                <w:szCs w:val="21"/>
              </w:rPr>
            </w:pPr>
            <w:r>
              <w:rPr>
                <w:rFonts w:hint="eastAsia" w:ascii="黑体" w:hAnsi="黑体" w:eastAsia="黑体"/>
                <w:b/>
                <w:szCs w:val="21"/>
              </w:rPr>
              <w:t>院  校</w:t>
            </w:r>
          </w:p>
          <w:p>
            <w:pPr>
              <w:rPr>
                <w:rFonts w:ascii="黑体" w:hAnsi="黑体" w:eastAsia="黑体"/>
                <w:b/>
                <w:szCs w:val="21"/>
              </w:rPr>
            </w:pPr>
            <w:r>
              <w:rPr>
                <w:rFonts w:hint="eastAsia" w:ascii="黑体" w:hAnsi="黑体" w:eastAsia="黑体"/>
                <w:b/>
                <w:szCs w:val="21"/>
              </w:rPr>
              <w:t>代  码</w:t>
            </w:r>
          </w:p>
        </w:tc>
        <w:tc>
          <w:tcPr>
            <w:tcW w:w="861" w:type="dxa"/>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rPr>
                <w:rFonts w:ascii="黑体" w:hAnsi="黑体" w:eastAsia="黑体"/>
                <w:b/>
                <w:szCs w:val="21"/>
              </w:rPr>
            </w:pPr>
            <w:r>
              <w:rPr>
                <w:rFonts w:hint="eastAsia" w:ascii="黑体" w:hAnsi="黑体" w:eastAsia="黑体"/>
                <w:b/>
                <w:szCs w:val="21"/>
              </w:rPr>
              <w:t>院  校</w:t>
            </w:r>
          </w:p>
          <w:p>
            <w:pPr>
              <w:rPr>
                <w:rFonts w:ascii="黑体" w:hAnsi="黑体" w:eastAsia="黑体"/>
                <w:b/>
                <w:szCs w:val="21"/>
              </w:rPr>
            </w:pPr>
            <w:r>
              <w:rPr>
                <w:rFonts w:hint="eastAsia" w:ascii="黑体" w:hAnsi="黑体" w:eastAsia="黑体"/>
                <w:b/>
                <w:szCs w:val="21"/>
              </w:rPr>
              <w:t>名  称</w:t>
            </w:r>
          </w:p>
        </w:tc>
        <w:tc>
          <w:tcPr>
            <w:tcW w:w="3567" w:type="dxa"/>
            <w:gridSpan w:val="3"/>
            <w:tcBorders>
              <w:top w:val="single" w:color="auto" w:sz="4" w:space="0"/>
              <w:left w:val="single" w:color="auto" w:sz="4" w:space="0"/>
              <w:bottom w:val="single" w:color="auto" w:sz="4" w:space="0"/>
              <w:right w:val="single" w:color="auto" w:sz="4" w:space="0"/>
            </w:tcBorders>
            <w:shd w:val="clear" w:color="auto" w:fill="D99594" w:themeFill="accent2" w:themeFillTint="99"/>
            <w:vAlign w:val="center"/>
          </w:tcPr>
          <w:p>
            <w:pPr>
              <w:jc w:val="center"/>
              <w:rPr>
                <w:rFonts w:ascii="黑体" w:hAnsi="黑体" w:eastAsia="黑体"/>
                <w:b/>
                <w:szCs w:val="21"/>
              </w:rPr>
            </w:pPr>
            <w:r>
              <w:rPr>
                <w:rFonts w:hint="eastAsia" w:ascii="黑体" w:hAnsi="黑体" w:eastAsia="黑体"/>
                <w:b/>
                <w:szCs w:val="21"/>
              </w:rPr>
              <w:t>指标</w:t>
            </w:r>
          </w:p>
        </w:tc>
        <w:tc>
          <w:tcPr>
            <w:tcW w:w="717"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单位</w:t>
            </w:r>
          </w:p>
        </w:tc>
        <w:tc>
          <w:tcPr>
            <w:tcW w:w="1053"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2018年</w:t>
            </w:r>
          </w:p>
        </w:tc>
        <w:tc>
          <w:tcPr>
            <w:tcW w:w="1129"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2019年</w:t>
            </w:r>
          </w:p>
        </w:tc>
        <w:tc>
          <w:tcPr>
            <w:tcW w:w="1155" w:type="dxa"/>
            <w:tcBorders>
              <w:top w:val="single" w:color="auto" w:sz="4" w:space="0"/>
              <w:left w:val="nil"/>
              <w:bottom w:val="single" w:color="auto" w:sz="4" w:space="0"/>
              <w:right w:val="single" w:color="auto" w:sz="4" w:space="0"/>
            </w:tcBorders>
            <w:shd w:val="clear" w:color="auto" w:fill="D99594" w:themeFill="accent2" w:themeFillTint="99"/>
          </w:tcPr>
          <w:p>
            <w:pPr>
              <w:rPr>
                <w:rFonts w:ascii="黑体" w:hAnsi="黑体" w:eastAsia="黑体"/>
                <w:b/>
                <w:szCs w:val="21"/>
              </w:rPr>
            </w:pPr>
          </w:p>
        </w:tc>
      </w:tr>
      <w:tr>
        <w:tblPrEx>
          <w:tblLayout w:type="fixed"/>
          <w:tblCellMar>
            <w:top w:w="0" w:type="dxa"/>
            <w:left w:w="108" w:type="dxa"/>
            <w:bottom w:w="0" w:type="dxa"/>
            <w:right w:w="108" w:type="dxa"/>
          </w:tblCellMar>
        </w:tblPrEx>
        <w:trPr>
          <w:trHeight w:val="440" w:hRule="atLeast"/>
          <w:jc w:val="center"/>
        </w:trPr>
        <w:tc>
          <w:tcPr>
            <w:tcW w:w="879" w:type="dxa"/>
            <w:vMerge w:val="restart"/>
            <w:tcBorders>
              <w:top w:val="single" w:color="auto" w:sz="4" w:space="0"/>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14121</w:t>
            </w:r>
          </w:p>
        </w:tc>
        <w:tc>
          <w:tcPr>
            <w:tcW w:w="861" w:type="dxa"/>
            <w:vMerge w:val="restart"/>
            <w:tcBorders>
              <w:top w:val="single" w:color="auto" w:sz="4" w:space="0"/>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湖南都市职业学院</w:t>
            </w:r>
          </w:p>
        </w:tc>
        <w:tc>
          <w:tcPr>
            <w:tcW w:w="429" w:type="dxa"/>
            <w:vMerge w:val="restart"/>
            <w:tcBorders>
              <w:top w:val="single" w:color="auto" w:sz="4" w:space="0"/>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w:t>
            </w:r>
          </w:p>
        </w:tc>
        <w:tc>
          <w:tcPr>
            <w:tcW w:w="3138" w:type="dxa"/>
            <w:gridSpan w:val="2"/>
            <w:tcBorders>
              <w:top w:val="single" w:color="auto" w:sz="4" w:space="0"/>
              <w:left w:val="nil"/>
              <w:bottom w:val="single" w:color="auto" w:sz="4" w:space="0"/>
              <w:right w:val="single" w:color="auto" w:sz="4" w:space="0"/>
            </w:tcBorders>
            <w:shd w:val="clear" w:color="auto" w:fill="FDE9D9" w:themeFill="accent6" w:themeFillTint="33"/>
            <w:noWrap/>
            <w:vAlign w:val="center"/>
          </w:tcPr>
          <w:p>
            <w:pPr>
              <w:rPr>
                <w:rFonts w:ascii="楷体" w:hAnsi="楷体" w:eastAsia="楷体"/>
                <w:szCs w:val="21"/>
              </w:rPr>
            </w:pPr>
            <w:r>
              <w:rPr>
                <w:rFonts w:hint="eastAsia" w:ascii="楷体" w:hAnsi="楷体" w:eastAsia="楷体"/>
                <w:szCs w:val="21"/>
              </w:rPr>
              <w:t>全日制在校生人数</w:t>
            </w:r>
          </w:p>
        </w:tc>
        <w:tc>
          <w:tcPr>
            <w:tcW w:w="717"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9251</w:t>
            </w:r>
          </w:p>
        </w:tc>
        <w:tc>
          <w:tcPr>
            <w:tcW w:w="1129" w:type="dxa"/>
            <w:tcBorders>
              <w:top w:val="single" w:color="auto" w:sz="4" w:space="0"/>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10410</w:t>
            </w:r>
          </w:p>
        </w:tc>
        <w:tc>
          <w:tcPr>
            <w:tcW w:w="1155" w:type="dxa"/>
            <w:tcBorders>
              <w:top w:val="single" w:color="auto" w:sz="4" w:space="0"/>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18" w:hRule="atLeast"/>
          <w:jc w:val="center"/>
        </w:trPr>
        <w:tc>
          <w:tcPr>
            <w:tcW w:w="879" w:type="dxa"/>
            <w:vMerge w:val="continue"/>
            <w:tcBorders>
              <w:left w:val="single" w:color="auto" w:sz="4" w:space="0"/>
              <w:right w:val="single" w:color="auto" w:sz="4" w:space="0"/>
            </w:tcBorders>
            <w:shd w:val="clear" w:color="auto" w:fill="FDE9D9" w:themeFill="accent6" w:themeFillTint="33"/>
            <w:vAlign w:val="bottom"/>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bottom"/>
          </w:tcPr>
          <w:p>
            <w:pPr>
              <w:rPr>
                <w:rFonts w:ascii="楷体" w:hAnsi="楷体" w:eastAsia="楷体"/>
                <w:szCs w:val="21"/>
              </w:rPr>
            </w:pPr>
          </w:p>
        </w:tc>
        <w:tc>
          <w:tcPr>
            <w:tcW w:w="4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noWrap/>
            <w:vAlign w:val="center"/>
          </w:tcPr>
          <w:p>
            <w:pPr>
              <w:rPr>
                <w:rFonts w:ascii="楷体" w:hAnsi="楷体" w:eastAsia="楷体"/>
                <w:szCs w:val="21"/>
              </w:rPr>
            </w:pPr>
            <w:r>
              <w:rPr>
                <w:rFonts w:hint="eastAsia" w:ascii="楷体" w:hAnsi="楷体" w:eastAsia="楷体"/>
                <w:szCs w:val="21"/>
              </w:rPr>
              <w:t>毕业生人数</w:t>
            </w:r>
          </w:p>
        </w:tc>
        <w:tc>
          <w:tcPr>
            <w:tcW w:w="717" w:type="dxa"/>
            <w:tcBorders>
              <w:top w:val="nil"/>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nil"/>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3015</w:t>
            </w:r>
          </w:p>
        </w:tc>
        <w:tc>
          <w:tcPr>
            <w:tcW w:w="1129" w:type="dxa"/>
            <w:tcBorders>
              <w:top w:val="nil"/>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3513</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10"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其中：就业人数</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2707</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3142</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260"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毕业生就业去向：</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378"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A类:留在当地就业人数</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1810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2306</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B类:到西部地区和东北地区就业人数</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236</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277</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C类:到中小微企业等基层服务人数</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1416</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1648</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16"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D类:到500强企业就业人数</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139</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351</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21"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restart"/>
            <w:tcBorders>
              <w:top w:val="nil"/>
              <w:left w:val="nil"/>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w:t>
            </w: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横向技术服务到款额</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万元</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275</w:t>
            </w:r>
            <w:r>
              <w:rPr>
                <w:rFonts w:hint="eastAsia" w:ascii="楷体" w:hAnsi="楷体" w:eastAsia="楷体"/>
                <w:szCs w:val="21"/>
              </w:rPr>
              <w:t>.00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14"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横向技术服务产生的经济效益</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万元</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281</w:t>
            </w:r>
            <w:r>
              <w:rPr>
                <w:rFonts w:hint="eastAsia" w:ascii="楷体" w:hAnsi="楷体" w:eastAsia="楷体"/>
                <w:szCs w:val="21"/>
              </w:rPr>
              <w:t>.00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w:t>
            </w:r>
          </w:p>
        </w:tc>
        <w:tc>
          <w:tcPr>
            <w:tcW w:w="1155" w:type="dxa"/>
            <w:tcBorders>
              <w:top w:val="nil"/>
              <w:left w:val="nil"/>
              <w:bottom w:val="single" w:color="auto" w:sz="4" w:space="0"/>
              <w:right w:val="single" w:color="auto" w:sz="4" w:space="0"/>
            </w:tcBorders>
            <w:shd w:val="clear" w:color="auto" w:fill="FDE9D9" w:themeFill="accent6" w:themeFillTint="33"/>
          </w:tcPr>
          <w:p>
            <w:pPr>
              <w:spacing w:line="240" w:lineRule="exact"/>
              <w:jc w:val="center"/>
              <w:rPr>
                <w:rFonts w:ascii="楷体" w:hAnsi="楷体" w:eastAsia="楷体"/>
                <w:szCs w:val="21"/>
              </w:rPr>
            </w:pPr>
          </w:p>
        </w:tc>
      </w:tr>
      <w:tr>
        <w:tblPrEx>
          <w:tblLayout w:type="fixed"/>
          <w:tblCellMar>
            <w:top w:w="0" w:type="dxa"/>
            <w:left w:w="108" w:type="dxa"/>
            <w:bottom w:w="0" w:type="dxa"/>
            <w:right w:w="108" w:type="dxa"/>
          </w:tblCellMar>
        </w:tblPrEx>
        <w:trPr>
          <w:trHeight w:val="420"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w:t>
            </w: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纵向科研经费到款额</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万元</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13.5</w:t>
            </w:r>
            <w:r>
              <w:rPr>
                <w:rFonts w:hint="eastAsia" w:ascii="楷体" w:hAnsi="楷体" w:eastAsia="楷体"/>
                <w:szCs w:val="21"/>
              </w:rPr>
              <w:t>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10.2</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398"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4</w:t>
            </w: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技术交易到款额</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万元</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56</w:t>
            </w:r>
            <w:r>
              <w:rPr>
                <w:rFonts w:hint="eastAsia" w:ascii="楷体" w:hAnsi="楷体" w:eastAsia="楷体"/>
                <w:szCs w:val="21"/>
              </w:rPr>
              <w:t>.00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17"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restart"/>
            <w:tcBorders>
              <w:top w:val="nil"/>
              <w:left w:val="nil"/>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w:t>
            </w: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非学历培训服务</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人日</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9171</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12266</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424"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nil"/>
              <w:right w:val="single" w:color="auto" w:sz="4" w:space="0"/>
            </w:tcBorders>
            <w:shd w:val="clear" w:color="auto" w:fill="FDE9D9" w:themeFill="accent6" w:themeFillTint="33"/>
            <w:vAlign w:val="center"/>
          </w:tcPr>
          <w:p>
            <w:pPr>
              <w:jc w:val="center"/>
              <w:rPr>
                <w:rFonts w:ascii="楷体" w:hAnsi="楷体" w:eastAsia="楷体"/>
                <w:szCs w:val="21"/>
              </w:rPr>
            </w:pPr>
          </w:p>
        </w:tc>
        <w:tc>
          <w:tcPr>
            <w:tcW w:w="509" w:type="dxa"/>
            <w:vMerge w:val="restart"/>
            <w:tcBorders>
              <w:top w:val="nil"/>
              <w:left w:val="nil"/>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其中：</w:t>
            </w:r>
          </w:p>
        </w:tc>
        <w:tc>
          <w:tcPr>
            <w:tcW w:w="2629" w:type="dxa"/>
            <w:tcBorders>
              <w:top w:val="nil"/>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技术技能培训服务</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人日</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319</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528</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nil"/>
              <w:right w:val="single" w:color="auto" w:sz="4" w:space="0"/>
            </w:tcBorders>
            <w:shd w:val="clear" w:color="auto" w:fill="FDE9D9" w:themeFill="accent6" w:themeFillTint="33"/>
            <w:vAlign w:val="center"/>
          </w:tcPr>
          <w:p>
            <w:pPr>
              <w:jc w:val="center"/>
              <w:rPr>
                <w:rFonts w:ascii="楷体" w:hAnsi="楷体" w:eastAsia="楷体"/>
                <w:szCs w:val="21"/>
              </w:rPr>
            </w:pPr>
          </w:p>
        </w:tc>
        <w:tc>
          <w:tcPr>
            <w:tcW w:w="509" w:type="dxa"/>
            <w:vMerge w:val="continue"/>
            <w:tcBorders>
              <w:left w:val="nil"/>
              <w:right w:val="single" w:color="auto" w:sz="4" w:space="0"/>
            </w:tcBorders>
            <w:shd w:val="clear" w:color="auto" w:fill="FDE9D9" w:themeFill="accent6" w:themeFillTint="33"/>
            <w:vAlign w:val="center"/>
          </w:tcPr>
          <w:p>
            <w:pPr>
              <w:rPr>
                <w:rFonts w:ascii="楷体" w:hAnsi="楷体" w:eastAsia="楷体"/>
                <w:szCs w:val="21"/>
              </w:rPr>
            </w:pPr>
          </w:p>
        </w:tc>
        <w:tc>
          <w:tcPr>
            <w:tcW w:w="2629" w:type="dxa"/>
            <w:tcBorders>
              <w:top w:val="nil"/>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新型职业农民培训服务</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人日</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nil"/>
              <w:right w:val="single" w:color="auto" w:sz="4" w:space="0"/>
            </w:tcBorders>
            <w:shd w:val="clear" w:color="auto" w:fill="FDE9D9" w:themeFill="accent6" w:themeFillTint="33"/>
            <w:vAlign w:val="center"/>
          </w:tcPr>
          <w:p>
            <w:pPr>
              <w:jc w:val="center"/>
              <w:rPr>
                <w:rFonts w:ascii="楷体" w:hAnsi="楷体" w:eastAsia="楷体"/>
                <w:szCs w:val="21"/>
              </w:rPr>
            </w:pPr>
          </w:p>
        </w:tc>
        <w:tc>
          <w:tcPr>
            <w:tcW w:w="509" w:type="dxa"/>
            <w:vMerge w:val="continue"/>
            <w:tcBorders>
              <w:left w:val="nil"/>
              <w:right w:val="single" w:color="auto" w:sz="4" w:space="0"/>
            </w:tcBorders>
            <w:shd w:val="clear" w:color="auto" w:fill="FDE9D9" w:themeFill="accent6" w:themeFillTint="33"/>
            <w:vAlign w:val="center"/>
          </w:tcPr>
          <w:p>
            <w:pPr>
              <w:rPr>
                <w:rFonts w:ascii="楷体" w:hAnsi="楷体" w:eastAsia="楷体"/>
                <w:szCs w:val="21"/>
              </w:rPr>
            </w:pPr>
          </w:p>
        </w:tc>
        <w:tc>
          <w:tcPr>
            <w:tcW w:w="2629" w:type="dxa"/>
            <w:tcBorders>
              <w:top w:val="nil"/>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退役军人培训服务</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人日</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vMerge w:val="continue"/>
            <w:tcBorders>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509" w:type="dxa"/>
            <w:vMerge w:val="continue"/>
            <w:tcBorders>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2629" w:type="dxa"/>
            <w:tcBorders>
              <w:top w:val="nil"/>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基层社会服务人员培训服务</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人日</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1107</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1282</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4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6</w:t>
            </w:r>
          </w:p>
        </w:tc>
        <w:tc>
          <w:tcPr>
            <w:tcW w:w="3138"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非学历培训到款额</w:t>
            </w:r>
          </w:p>
        </w:tc>
        <w:tc>
          <w:tcPr>
            <w:tcW w:w="717" w:type="dxa"/>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ascii="楷体" w:hAnsi="楷体" w:eastAsia="楷体"/>
                <w:szCs w:val="21"/>
              </w:rPr>
              <w:t>万元</w:t>
            </w:r>
          </w:p>
        </w:tc>
        <w:tc>
          <w:tcPr>
            <w:tcW w:w="1053"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252</w:t>
            </w:r>
            <w:r>
              <w:rPr>
                <w:rFonts w:hint="eastAsia" w:ascii="楷体" w:hAnsi="楷体" w:eastAsia="楷体"/>
                <w:szCs w:val="21"/>
              </w:rPr>
              <w:t>.00</w:t>
            </w:r>
          </w:p>
        </w:tc>
        <w:tc>
          <w:tcPr>
            <w:tcW w:w="112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0</w:t>
            </w:r>
          </w:p>
        </w:tc>
        <w:tc>
          <w:tcPr>
            <w:tcW w:w="1155" w:type="dxa"/>
            <w:tcBorders>
              <w:top w:val="nil"/>
              <w:left w:val="nil"/>
              <w:bottom w:val="single" w:color="auto" w:sz="4" w:space="0"/>
              <w:right w:val="single" w:color="auto" w:sz="4" w:space="0"/>
            </w:tcBorders>
            <w:shd w:val="clear" w:color="auto" w:fill="FDE9D9" w:themeFill="accent6" w:themeFillTint="33"/>
          </w:tcPr>
          <w:p>
            <w:pPr>
              <w:jc w:val="cente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6466" w:type="dxa"/>
            <w:gridSpan w:val="6"/>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主要办学经费来源（单选）：省级（）           地市级（）</w:t>
            </w:r>
          </w:p>
          <w:p>
            <w:pPr>
              <w:ind w:firstLine="2730" w:firstLineChars="1300"/>
              <w:rPr>
                <w:rFonts w:ascii="楷体" w:hAnsi="楷体" w:eastAsia="楷体"/>
                <w:szCs w:val="21"/>
              </w:rPr>
            </w:pPr>
            <w:r>
              <w:rPr>
                <w:rFonts w:hint="eastAsia" w:ascii="楷体" w:hAnsi="楷体" w:eastAsia="楷体"/>
                <w:szCs w:val="21"/>
              </w:rPr>
              <w:t>行业或企业（）     其他（√）</w:t>
            </w:r>
          </w:p>
        </w:tc>
        <w:tc>
          <w:tcPr>
            <w:tcW w:w="1155" w:type="dxa"/>
            <w:vMerge w:val="restart"/>
            <w:tcBorders>
              <w:top w:val="nil"/>
              <w:left w:val="nil"/>
              <w:right w:val="single" w:color="auto" w:sz="4" w:space="0"/>
            </w:tcBorders>
            <w:shd w:val="clear" w:color="auto" w:fill="FDE9D9" w:themeFill="accent6" w:themeFillTint="33"/>
          </w:tcPr>
          <w:p>
            <w:pPr>
              <w:rPr>
                <w:rFonts w:ascii="楷体" w:hAnsi="楷体" w:eastAsia="楷体"/>
                <w:szCs w:val="21"/>
              </w:rPr>
            </w:pPr>
          </w:p>
        </w:tc>
      </w:tr>
      <w:tr>
        <w:tblPrEx>
          <w:tblLayout w:type="fixed"/>
          <w:tblCellMar>
            <w:top w:w="0" w:type="dxa"/>
            <w:left w:w="108" w:type="dxa"/>
            <w:bottom w:w="0" w:type="dxa"/>
            <w:right w:w="108" w:type="dxa"/>
          </w:tblCellMar>
        </w:tblPrEx>
        <w:trPr>
          <w:trHeight w:val="549" w:hRule="atLeast"/>
          <w:jc w:val="center"/>
        </w:trPr>
        <w:tc>
          <w:tcPr>
            <w:tcW w:w="879" w:type="dxa"/>
            <w:vMerge w:val="continue"/>
            <w:tcBorders>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861" w:type="dxa"/>
            <w:vMerge w:val="continue"/>
            <w:tcBorders>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p>
        </w:tc>
        <w:tc>
          <w:tcPr>
            <w:tcW w:w="6466" w:type="dxa"/>
            <w:gridSpan w:val="6"/>
            <w:tcBorders>
              <w:top w:val="single" w:color="auto" w:sz="4" w:space="0"/>
              <w:left w:val="nil"/>
              <w:bottom w:val="single" w:color="auto" w:sz="4" w:space="0"/>
              <w:right w:val="single" w:color="auto" w:sz="4" w:space="0"/>
            </w:tcBorders>
            <w:shd w:val="clear" w:color="auto" w:fill="FDE9D9" w:themeFill="accent6" w:themeFillTint="33"/>
            <w:vAlign w:val="center"/>
          </w:tcPr>
          <w:p>
            <w:pPr>
              <w:widowControl/>
              <w:jc w:val="left"/>
              <w:rPr>
                <w:rFonts w:ascii="仿宋_GB2312" w:hAnsi="Cambria" w:eastAsia="仿宋_GB2312" w:cs="宋体"/>
                <w:kern w:val="0"/>
                <w:sz w:val="24"/>
              </w:rPr>
            </w:pPr>
            <w:r>
              <w:rPr>
                <w:rFonts w:hint="eastAsia" w:ascii="仿宋_GB2312" w:hAnsi="Cambria" w:eastAsia="仿宋_GB2312" w:cs="宋体"/>
                <w:kern w:val="0"/>
                <w:sz w:val="24"/>
              </w:rPr>
              <w:t>院校举办方（单选）：公办院校（）</w:t>
            </w:r>
          </w:p>
          <w:p>
            <w:pPr>
              <w:widowControl/>
              <w:ind w:firstLine="2880" w:firstLineChars="1200"/>
              <w:jc w:val="left"/>
              <w:rPr>
                <w:rFonts w:ascii="仿宋_GB2312" w:hAnsi="Cambria" w:eastAsia="仿宋_GB2312" w:cs="宋体"/>
                <w:kern w:val="0"/>
                <w:sz w:val="24"/>
              </w:rPr>
            </w:pPr>
            <w:r>
              <w:rPr>
                <w:rFonts w:hint="eastAsia" w:ascii="仿宋_GB2312" w:hAnsi="Cambria" w:eastAsia="仿宋_GB2312" w:cs="宋体"/>
                <w:kern w:val="0"/>
                <w:sz w:val="24"/>
              </w:rPr>
              <w:t xml:space="preserve">省属公办（）   地市属公办（）   </w:t>
            </w:r>
          </w:p>
          <w:p>
            <w:pPr>
              <w:widowControl/>
              <w:ind w:firstLine="2640" w:firstLineChars="1100"/>
              <w:jc w:val="left"/>
              <w:rPr>
                <w:rFonts w:ascii="仿宋_GB2312" w:hAnsi="Cambria" w:eastAsia="仿宋_GB2312" w:cs="宋体"/>
                <w:kern w:val="0"/>
                <w:sz w:val="24"/>
              </w:rPr>
            </w:pPr>
            <w:r>
              <w:rPr>
                <w:rFonts w:hint="eastAsia" w:ascii="仿宋_GB2312" w:hAnsi="Cambria" w:eastAsia="仿宋_GB2312" w:cs="宋体"/>
                <w:kern w:val="0"/>
                <w:sz w:val="24"/>
              </w:rPr>
              <w:t>县区属公办（） 国有企业公办（）</w:t>
            </w:r>
          </w:p>
          <w:p>
            <w:pPr>
              <w:ind w:firstLine="3120" w:firstLineChars="1300"/>
              <w:rPr>
                <w:rFonts w:ascii="楷体" w:hAnsi="楷体" w:eastAsia="楷体"/>
                <w:szCs w:val="21"/>
              </w:rPr>
            </w:pPr>
            <w:r>
              <w:rPr>
                <w:rFonts w:hint="eastAsia" w:ascii="仿宋_GB2312" w:hAnsi="Cambria" w:eastAsia="仿宋_GB2312" w:cs="宋体"/>
                <w:kern w:val="0"/>
                <w:sz w:val="24"/>
              </w:rPr>
              <w:t>民办院校（</w:t>
            </w:r>
            <w:r>
              <w:rPr>
                <w:rFonts w:hint="eastAsia" w:ascii="楷体" w:hAnsi="楷体" w:eastAsia="楷体"/>
                <w:szCs w:val="21"/>
              </w:rPr>
              <w:t>√</w:t>
            </w:r>
            <w:r>
              <w:rPr>
                <w:rFonts w:hint="eastAsia" w:ascii="仿宋_GB2312" w:hAnsi="Cambria" w:eastAsia="仿宋_GB2312" w:cs="宋体"/>
                <w:kern w:val="0"/>
                <w:sz w:val="24"/>
              </w:rPr>
              <w:t>）</w:t>
            </w:r>
          </w:p>
        </w:tc>
        <w:tc>
          <w:tcPr>
            <w:tcW w:w="1155" w:type="dxa"/>
            <w:vMerge w:val="continue"/>
            <w:tcBorders>
              <w:left w:val="nil"/>
              <w:bottom w:val="single" w:color="auto" w:sz="4" w:space="0"/>
              <w:right w:val="single" w:color="auto" w:sz="4" w:space="0"/>
            </w:tcBorders>
            <w:shd w:val="clear" w:color="auto" w:fill="FDE9D9" w:themeFill="accent6" w:themeFillTint="33"/>
          </w:tcPr>
          <w:p>
            <w:pPr>
              <w:rPr>
                <w:rFonts w:ascii="楷体" w:hAnsi="楷体" w:eastAsia="楷体"/>
                <w:szCs w:val="21"/>
              </w:rPr>
            </w:pPr>
          </w:p>
        </w:tc>
      </w:tr>
    </w:tbl>
    <w:p>
      <w:pPr>
        <w:pStyle w:val="50"/>
      </w:pPr>
    </w:p>
    <w:p>
      <w:pPr>
        <w:pStyle w:val="50"/>
      </w:pPr>
    </w:p>
    <w:p>
      <w:pPr>
        <w:rPr>
          <w:rFonts w:hint="eastAsia"/>
        </w:rPr>
      </w:pPr>
      <w:bookmarkStart w:id="148" w:name="_Toc5653"/>
      <w:r>
        <w:rPr>
          <w:rFonts w:hint="eastAsia"/>
        </w:rPr>
        <w:br w:type="page"/>
      </w:r>
    </w:p>
    <w:p>
      <w:pPr>
        <w:pStyle w:val="46"/>
        <w:spacing w:before="156" w:after="156"/>
        <w:ind w:firstLine="3240" w:firstLineChars="900"/>
      </w:pPr>
      <w:r>
        <w:rPr>
          <w:rFonts w:hint="eastAsia"/>
        </w:rPr>
        <w:t>表6  落实政策表</w:t>
      </w:r>
      <w:bookmarkEnd w:id="148"/>
    </w:p>
    <w:tbl>
      <w:tblPr>
        <w:tblStyle w:val="20"/>
        <w:tblW w:w="9526" w:type="dxa"/>
        <w:jc w:val="center"/>
        <w:tblInd w:w="0" w:type="dxa"/>
        <w:tblLayout w:type="fixed"/>
        <w:tblCellMar>
          <w:top w:w="0" w:type="dxa"/>
          <w:left w:w="108" w:type="dxa"/>
          <w:bottom w:w="0" w:type="dxa"/>
          <w:right w:w="108" w:type="dxa"/>
        </w:tblCellMar>
      </w:tblPr>
      <w:tblGrid>
        <w:gridCol w:w="929"/>
        <w:gridCol w:w="929"/>
        <w:gridCol w:w="464"/>
        <w:gridCol w:w="640"/>
        <w:gridCol w:w="2989"/>
        <w:gridCol w:w="859"/>
        <w:gridCol w:w="1344"/>
        <w:gridCol w:w="1372"/>
      </w:tblGrid>
      <w:tr>
        <w:tblPrEx>
          <w:tblLayout w:type="fixed"/>
          <w:tblCellMar>
            <w:top w:w="0" w:type="dxa"/>
            <w:left w:w="108" w:type="dxa"/>
            <w:bottom w:w="0" w:type="dxa"/>
            <w:right w:w="108" w:type="dxa"/>
          </w:tblCellMar>
        </w:tblPrEx>
        <w:trPr>
          <w:trHeight w:val="480" w:hRule="atLeast"/>
          <w:jc w:val="center"/>
        </w:trPr>
        <w:tc>
          <w:tcPr>
            <w:tcW w:w="929" w:type="dxa"/>
            <w:tcBorders>
              <w:top w:val="single" w:color="auto" w:sz="4" w:space="0"/>
              <w:left w:val="single" w:color="auto" w:sz="4" w:space="0"/>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院校</w:t>
            </w:r>
          </w:p>
          <w:p>
            <w:pPr>
              <w:jc w:val="center"/>
              <w:rPr>
                <w:rFonts w:ascii="黑体" w:hAnsi="黑体" w:eastAsia="黑体"/>
                <w:b/>
                <w:szCs w:val="21"/>
              </w:rPr>
            </w:pPr>
            <w:r>
              <w:rPr>
                <w:rFonts w:hint="eastAsia" w:ascii="黑体" w:hAnsi="黑体" w:eastAsia="黑体"/>
                <w:b/>
                <w:szCs w:val="21"/>
              </w:rPr>
              <w:t>代码</w:t>
            </w:r>
          </w:p>
        </w:tc>
        <w:tc>
          <w:tcPr>
            <w:tcW w:w="929"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院校</w:t>
            </w:r>
          </w:p>
          <w:p>
            <w:pPr>
              <w:jc w:val="center"/>
              <w:rPr>
                <w:rFonts w:ascii="黑体" w:hAnsi="黑体" w:eastAsia="黑体"/>
                <w:b/>
                <w:szCs w:val="21"/>
              </w:rPr>
            </w:pPr>
            <w:r>
              <w:rPr>
                <w:rFonts w:hint="eastAsia" w:ascii="黑体" w:hAnsi="黑体" w:eastAsia="黑体"/>
                <w:b/>
                <w:szCs w:val="21"/>
              </w:rPr>
              <w:t>名称</w:t>
            </w:r>
          </w:p>
        </w:tc>
        <w:tc>
          <w:tcPr>
            <w:tcW w:w="4093" w:type="dxa"/>
            <w:gridSpan w:val="3"/>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指标</w:t>
            </w:r>
          </w:p>
        </w:tc>
        <w:tc>
          <w:tcPr>
            <w:tcW w:w="859"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单位</w:t>
            </w:r>
          </w:p>
        </w:tc>
        <w:tc>
          <w:tcPr>
            <w:tcW w:w="1344"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2018年</w:t>
            </w:r>
          </w:p>
        </w:tc>
        <w:tc>
          <w:tcPr>
            <w:tcW w:w="1372" w:type="dxa"/>
            <w:tcBorders>
              <w:top w:val="single" w:color="auto" w:sz="4" w:space="0"/>
              <w:left w:val="nil"/>
              <w:bottom w:val="single" w:color="auto" w:sz="4" w:space="0"/>
              <w:right w:val="single" w:color="auto" w:sz="4" w:space="0"/>
            </w:tcBorders>
            <w:shd w:val="clear" w:color="auto" w:fill="D99594" w:themeFill="accent2" w:themeFillTint="99"/>
            <w:noWrap/>
            <w:vAlign w:val="center"/>
          </w:tcPr>
          <w:p>
            <w:pPr>
              <w:jc w:val="center"/>
              <w:rPr>
                <w:rFonts w:ascii="黑体" w:hAnsi="黑体" w:eastAsia="黑体"/>
                <w:b/>
                <w:szCs w:val="21"/>
              </w:rPr>
            </w:pPr>
            <w:r>
              <w:rPr>
                <w:rFonts w:hint="eastAsia" w:ascii="黑体" w:hAnsi="黑体" w:eastAsia="黑体"/>
                <w:b/>
                <w:szCs w:val="21"/>
              </w:rPr>
              <w:t>2019年</w:t>
            </w:r>
          </w:p>
        </w:tc>
      </w:tr>
      <w:tr>
        <w:tblPrEx>
          <w:tblLayout w:type="fixed"/>
          <w:tblCellMar>
            <w:top w:w="0" w:type="dxa"/>
            <w:left w:w="108" w:type="dxa"/>
            <w:bottom w:w="0" w:type="dxa"/>
            <w:right w:w="108" w:type="dxa"/>
          </w:tblCellMar>
        </w:tblPrEx>
        <w:trPr>
          <w:trHeight w:val="390" w:hRule="atLeast"/>
          <w:jc w:val="center"/>
        </w:trPr>
        <w:tc>
          <w:tcPr>
            <w:tcW w:w="929" w:type="dxa"/>
            <w:vMerge w:val="restart"/>
            <w:tcBorders>
              <w:top w:val="single" w:color="auto" w:sz="4" w:space="0"/>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14121</w:t>
            </w:r>
          </w:p>
        </w:tc>
        <w:tc>
          <w:tcPr>
            <w:tcW w:w="929" w:type="dxa"/>
            <w:vMerge w:val="restart"/>
            <w:tcBorders>
              <w:top w:val="single" w:color="auto" w:sz="4" w:space="0"/>
              <w:left w:val="single" w:color="auto" w:sz="4" w:space="0"/>
              <w:right w:val="single" w:color="auto" w:sz="4" w:space="0"/>
            </w:tcBorders>
            <w:shd w:val="clear" w:color="auto" w:fill="FDE9D9" w:themeFill="accent6" w:themeFillTint="33"/>
            <w:vAlign w:val="center"/>
          </w:tcPr>
          <w:p>
            <w:pPr>
              <w:jc w:val="left"/>
              <w:rPr>
                <w:rFonts w:ascii="楷体" w:hAnsi="楷体" w:eastAsia="楷体"/>
                <w:szCs w:val="21"/>
              </w:rPr>
            </w:pPr>
            <w:r>
              <w:rPr>
                <w:rFonts w:hint="eastAsia" w:ascii="楷体" w:hAnsi="楷体" w:eastAsia="楷体"/>
                <w:szCs w:val="21"/>
              </w:rPr>
              <w:t>湖南都市职业学院</w:t>
            </w:r>
          </w:p>
        </w:tc>
        <w:tc>
          <w:tcPr>
            <w:tcW w:w="464" w:type="dxa"/>
            <w:vMerge w:val="restart"/>
            <w:tcBorders>
              <w:top w:val="nil"/>
              <w:left w:val="nil"/>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1</w:t>
            </w:r>
          </w:p>
        </w:tc>
        <w:tc>
          <w:tcPr>
            <w:tcW w:w="3629" w:type="dxa"/>
            <w:gridSpan w:val="2"/>
            <w:tcBorders>
              <w:top w:val="nil"/>
              <w:left w:val="nil"/>
              <w:bottom w:val="single" w:color="auto" w:sz="4" w:space="0"/>
              <w:right w:val="single" w:color="auto" w:sz="4" w:space="0"/>
            </w:tcBorders>
            <w:shd w:val="clear" w:color="auto" w:fill="FDE9D9" w:themeFill="accent6" w:themeFillTint="33"/>
            <w:noWrap/>
            <w:vAlign w:val="center"/>
          </w:tcPr>
          <w:p>
            <w:pPr>
              <w:rPr>
                <w:rFonts w:ascii="楷体" w:hAnsi="楷体" w:eastAsia="楷体"/>
                <w:szCs w:val="21"/>
              </w:rPr>
            </w:pPr>
            <w:r>
              <w:rPr>
                <w:rFonts w:ascii="楷体" w:hAnsi="楷体" w:eastAsia="楷体"/>
                <w:szCs w:val="21"/>
              </w:rPr>
              <w:t>年生均财政拨款水平</w:t>
            </w:r>
          </w:p>
        </w:tc>
        <w:tc>
          <w:tcPr>
            <w:tcW w:w="859" w:type="dxa"/>
            <w:tcBorders>
              <w:top w:val="nil"/>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元</w:t>
            </w:r>
          </w:p>
        </w:tc>
        <w:tc>
          <w:tcPr>
            <w:tcW w:w="1344" w:type="dxa"/>
            <w:tcBorders>
              <w:top w:val="nil"/>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ascii="楷体" w:hAnsi="楷体" w:eastAsia="楷体"/>
                <w:szCs w:val="21"/>
              </w:rPr>
              <w:t>313.48</w:t>
            </w:r>
          </w:p>
        </w:tc>
        <w:tc>
          <w:tcPr>
            <w:tcW w:w="1372" w:type="dxa"/>
            <w:tcBorders>
              <w:top w:val="nil"/>
              <w:left w:val="nil"/>
              <w:bottom w:val="single" w:color="auto" w:sz="4" w:space="0"/>
              <w:right w:val="single" w:color="auto" w:sz="4" w:space="0"/>
            </w:tcBorders>
            <w:shd w:val="clear" w:color="auto" w:fill="FDE9D9" w:themeFill="accent6" w:themeFillTint="33"/>
            <w:noWrap/>
            <w:vAlign w:val="center"/>
          </w:tcPr>
          <w:p>
            <w:pPr>
              <w:jc w:val="center"/>
              <w:rPr>
                <w:rFonts w:ascii="楷体" w:hAnsi="楷体" w:eastAsia="楷体"/>
                <w:szCs w:val="21"/>
              </w:rPr>
            </w:pPr>
            <w:r>
              <w:rPr>
                <w:rFonts w:hint="eastAsia" w:ascii="楷体" w:hAnsi="楷体" w:eastAsia="楷体"/>
                <w:szCs w:val="21"/>
              </w:rPr>
              <w:t>0.00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629" w:type="dxa"/>
            <w:gridSpan w:val="2"/>
            <w:tcBorders>
              <w:top w:val="nil"/>
              <w:left w:val="nil"/>
              <w:bottom w:val="single" w:color="auto" w:sz="4" w:space="0"/>
              <w:right w:val="single" w:color="auto" w:sz="4" w:space="0"/>
            </w:tcBorders>
            <w:shd w:val="clear" w:color="auto" w:fill="FDE9D9" w:themeFill="accent6" w:themeFillTint="33"/>
            <w:noWrap/>
            <w:vAlign w:val="center"/>
          </w:tcPr>
          <w:p>
            <w:pPr>
              <w:rPr>
                <w:rFonts w:ascii="楷体" w:hAnsi="楷体" w:eastAsia="楷体"/>
                <w:szCs w:val="21"/>
              </w:rPr>
            </w:pPr>
            <w:r>
              <w:rPr>
                <w:rFonts w:ascii="楷体" w:hAnsi="楷体" w:eastAsia="楷体"/>
                <w:szCs w:val="21"/>
              </w:rPr>
              <w:t>其中：年生均财政专项经费</w:t>
            </w:r>
          </w:p>
        </w:tc>
        <w:tc>
          <w:tcPr>
            <w:tcW w:w="85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元</w:t>
            </w:r>
          </w:p>
        </w:tc>
        <w:tc>
          <w:tcPr>
            <w:tcW w:w="1344"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313.48</w:t>
            </w:r>
          </w:p>
        </w:tc>
        <w:tc>
          <w:tcPr>
            <w:tcW w:w="1372"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0.00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restart"/>
            <w:tcBorders>
              <w:top w:val="nil"/>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w:t>
            </w:r>
          </w:p>
        </w:tc>
        <w:tc>
          <w:tcPr>
            <w:tcW w:w="3629"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教职员工额定编制数</w:t>
            </w:r>
          </w:p>
        </w:tc>
        <w:tc>
          <w:tcPr>
            <w:tcW w:w="85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344"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c>
          <w:tcPr>
            <w:tcW w:w="1372"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629" w:type="dxa"/>
            <w:gridSpan w:val="2"/>
            <w:tcBorders>
              <w:top w:val="nil"/>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在岗教职员工总数</w:t>
            </w:r>
          </w:p>
        </w:tc>
        <w:tc>
          <w:tcPr>
            <w:tcW w:w="85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344"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860</w:t>
            </w:r>
          </w:p>
        </w:tc>
        <w:tc>
          <w:tcPr>
            <w:tcW w:w="1372"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913</w:t>
            </w:r>
            <w:r>
              <w:rPr>
                <w:rFonts w:hint="eastAsia" w:ascii="楷体" w:hAnsi="楷体" w:eastAsia="楷体"/>
                <w:szCs w:val="21"/>
              </w:rPr>
              <w:t>.00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640" w:type="dxa"/>
            <w:vMerge w:val="restart"/>
            <w:tcBorders>
              <w:top w:val="nil"/>
              <w:left w:val="nil"/>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其中：</w:t>
            </w:r>
          </w:p>
        </w:tc>
        <w:tc>
          <w:tcPr>
            <w:tcW w:w="2989" w:type="dxa"/>
            <w:tcBorders>
              <w:top w:val="nil"/>
              <w:left w:val="single" w:color="auto" w:sz="4" w:space="0"/>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hint="eastAsia" w:ascii="楷体" w:hAnsi="楷体" w:eastAsia="楷体"/>
                <w:szCs w:val="21"/>
              </w:rPr>
              <w:t>专任教师总数</w:t>
            </w:r>
          </w:p>
        </w:tc>
        <w:tc>
          <w:tcPr>
            <w:tcW w:w="859"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w:t>
            </w:r>
          </w:p>
        </w:tc>
        <w:tc>
          <w:tcPr>
            <w:tcW w:w="1344"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437</w:t>
            </w:r>
          </w:p>
        </w:tc>
        <w:tc>
          <w:tcPr>
            <w:tcW w:w="1372" w:type="dxa"/>
            <w:tcBorders>
              <w:top w:val="nil"/>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481</w:t>
            </w:r>
            <w:r>
              <w:rPr>
                <w:rFonts w:hint="eastAsia" w:ascii="楷体" w:hAnsi="楷体" w:eastAsia="楷体"/>
                <w:szCs w:val="21"/>
              </w:rPr>
              <w:t>.00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640" w:type="dxa"/>
            <w:vMerge w:val="continue"/>
            <w:tcBorders>
              <w:left w:val="nil"/>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p>
        </w:tc>
        <w:tc>
          <w:tcPr>
            <w:tcW w:w="2989" w:type="dxa"/>
            <w:tcBorders>
              <w:top w:val="nil"/>
              <w:left w:val="single" w:color="auto" w:sz="4" w:space="0"/>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ascii="楷体" w:hAnsi="楷体" w:eastAsia="楷体"/>
                <w:szCs w:val="21"/>
              </w:rPr>
              <w:t>专任教师年培训量</w:t>
            </w:r>
          </w:p>
        </w:tc>
        <w:tc>
          <w:tcPr>
            <w:tcW w:w="859" w:type="dxa"/>
            <w:tcBorders>
              <w:top w:val="nil"/>
              <w:left w:val="nil"/>
              <w:bottom w:val="single" w:color="auto" w:sz="4" w:space="0"/>
              <w:right w:val="single" w:color="auto" w:sz="4" w:space="0"/>
            </w:tcBorders>
            <w:shd w:val="clear" w:color="auto" w:fill="FDE9D9" w:themeFill="accent6" w:themeFillTint="33"/>
            <w:vAlign w:val="center"/>
          </w:tcPr>
          <w:p>
            <w:pPr>
              <w:ind w:firstLine="210" w:firstLineChars="100"/>
              <w:jc w:val="center"/>
              <w:rPr>
                <w:rFonts w:ascii="楷体" w:hAnsi="楷体" w:eastAsia="楷体"/>
                <w:szCs w:val="21"/>
              </w:rPr>
            </w:pPr>
            <w:r>
              <w:rPr>
                <w:rFonts w:ascii="楷体" w:hAnsi="楷体" w:eastAsia="楷体"/>
                <w:szCs w:val="21"/>
              </w:rPr>
              <w:t>人日</w:t>
            </w:r>
          </w:p>
        </w:tc>
        <w:tc>
          <w:tcPr>
            <w:tcW w:w="1344" w:type="dxa"/>
            <w:tcBorders>
              <w:top w:val="nil"/>
              <w:left w:val="nil"/>
              <w:bottom w:val="single" w:color="auto" w:sz="4" w:space="0"/>
              <w:right w:val="single" w:color="auto" w:sz="4" w:space="0"/>
            </w:tcBorders>
            <w:shd w:val="clear" w:color="auto" w:fill="FDE9D9" w:themeFill="accent6" w:themeFillTint="33"/>
            <w:vAlign w:val="center"/>
          </w:tcPr>
          <w:p>
            <w:pPr>
              <w:ind w:firstLine="210" w:firstLineChars="100"/>
              <w:jc w:val="center"/>
              <w:rPr>
                <w:rFonts w:ascii="楷体" w:hAnsi="楷体" w:eastAsia="楷体"/>
                <w:szCs w:val="21"/>
              </w:rPr>
            </w:pPr>
            <w:r>
              <w:rPr>
                <w:rFonts w:ascii="楷体" w:hAnsi="楷体" w:eastAsia="楷体"/>
                <w:szCs w:val="21"/>
              </w:rPr>
              <w:t>6800</w:t>
            </w:r>
          </w:p>
        </w:tc>
        <w:tc>
          <w:tcPr>
            <w:tcW w:w="1372" w:type="dxa"/>
            <w:tcBorders>
              <w:top w:val="nil"/>
              <w:left w:val="nil"/>
              <w:bottom w:val="single" w:color="auto" w:sz="4" w:space="0"/>
              <w:right w:val="single" w:color="auto" w:sz="4" w:space="0"/>
            </w:tcBorders>
            <w:shd w:val="clear" w:color="auto" w:fill="FDE9D9" w:themeFill="accent6" w:themeFillTint="33"/>
            <w:vAlign w:val="center"/>
          </w:tcPr>
          <w:p>
            <w:pPr>
              <w:ind w:firstLine="210" w:firstLineChars="100"/>
              <w:jc w:val="center"/>
              <w:rPr>
                <w:rFonts w:ascii="楷体" w:hAnsi="楷体" w:eastAsia="楷体"/>
                <w:szCs w:val="21"/>
              </w:rPr>
            </w:pPr>
            <w:r>
              <w:rPr>
                <w:rFonts w:ascii="楷体" w:hAnsi="楷体" w:eastAsia="楷体"/>
                <w:szCs w:val="21"/>
              </w:rPr>
              <w:t>7055</w:t>
            </w:r>
          </w:p>
        </w:tc>
      </w:tr>
      <w:tr>
        <w:tblPrEx>
          <w:tblLayout w:type="fixed"/>
          <w:tblCellMar>
            <w:top w:w="0" w:type="dxa"/>
            <w:left w:w="108" w:type="dxa"/>
            <w:bottom w:w="0" w:type="dxa"/>
            <w:right w:w="108" w:type="dxa"/>
          </w:tblCellMar>
        </w:tblPrEx>
        <w:trPr>
          <w:trHeight w:val="465"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3</w:t>
            </w: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企业提供的校内实践教学设备值</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万元</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jc w:val="center"/>
              <w:rPr>
                <w:rFonts w:ascii="楷体" w:hAnsi="楷体" w:eastAsia="楷体"/>
                <w:szCs w:val="21"/>
              </w:rPr>
            </w:pPr>
            <w:r>
              <w:rPr>
                <w:rFonts w:ascii="楷体" w:hAnsi="楷体" w:eastAsia="楷体"/>
                <w:szCs w:val="21"/>
              </w:rPr>
              <w:t>201</w:t>
            </w:r>
            <w:r>
              <w:rPr>
                <w:rFonts w:hint="eastAsia" w:ascii="楷体" w:hAnsi="楷体" w:eastAsia="楷体"/>
                <w:szCs w:val="21"/>
              </w:rPr>
              <w:t>.00</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jc w:val="center"/>
              <w:rPr>
                <w:rFonts w:ascii="楷体" w:hAnsi="楷体" w:eastAsia="楷体"/>
                <w:szCs w:val="21"/>
              </w:rPr>
            </w:pPr>
            <w:r>
              <w:rPr>
                <w:rFonts w:ascii="楷体" w:hAnsi="楷体" w:eastAsia="楷体"/>
                <w:szCs w:val="21"/>
              </w:rPr>
              <w:t>101</w:t>
            </w:r>
            <w:r>
              <w:rPr>
                <w:rFonts w:hint="eastAsia" w:ascii="楷体" w:hAnsi="楷体" w:eastAsia="楷体"/>
                <w:szCs w:val="21"/>
              </w:rPr>
              <w:t>.00</w:t>
            </w:r>
          </w:p>
        </w:tc>
      </w:tr>
      <w:tr>
        <w:tblPrEx>
          <w:tblLayout w:type="fixed"/>
          <w:tblCellMar>
            <w:top w:w="0" w:type="dxa"/>
            <w:left w:w="108" w:type="dxa"/>
            <w:bottom w:w="0" w:type="dxa"/>
            <w:right w:w="108" w:type="dxa"/>
          </w:tblCellMar>
        </w:tblPrEx>
        <w:trPr>
          <w:trHeight w:val="465"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4</w:t>
            </w: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年生均校外实训基地实习时间</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人时</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420" w:firstLineChars="200"/>
              <w:rPr>
                <w:rFonts w:ascii="楷体" w:hAnsi="楷体" w:eastAsia="楷体"/>
                <w:szCs w:val="21"/>
              </w:rPr>
            </w:pPr>
            <w:r>
              <w:rPr>
                <w:rFonts w:hint="eastAsia" w:ascii="楷体" w:hAnsi="楷体" w:eastAsia="楷体"/>
                <w:szCs w:val="21"/>
              </w:rPr>
              <w:t>578</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jc w:val="center"/>
              <w:rPr>
                <w:rFonts w:ascii="楷体" w:hAnsi="楷体" w:eastAsia="楷体"/>
                <w:szCs w:val="21"/>
              </w:rPr>
            </w:pPr>
            <w:r>
              <w:rPr>
                <w:rFonts w:hint="eastAsia" w:ascii="楷体" w:hAnsi="楷体" w:eastAsia="楷体"/>
                <w:szCs w:val="21"/>
              </w:rPr>
              <w:t>584</w:t>
            </w:r>
          </w:p>
        </w:tc>
      </w:tr>
      <w:tr>
        <w:tblPrEx>
          <w:tblLayout w:type="fixed"/>
          <w:tblCellMar>
            <w:top w:w="0" w:type="dxa"/>
            <w:left w:w="108" w:type="dxa"/>
            <w:bottom w:w="0" w:type="dxa"/>
            <w:right w:w="108" w:type="dxa"/>
          </w:tblCellMar>
        </w:tblPrEx>
        <w:trPr>
          <w:trHeight w:val="465"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restart"/>
            <w:tcBorders>
              <w:top w:val="single" w:color="auto" w:sz="4" w:space="0"/>
              <w:left w:val="nil"/>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w:t>
            </w: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生均企业实习经费补贴</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0.00</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0.00</w:t>
            </w:r>
          </w:p>
        </w:tc>
      </w:tr>
      <w:tr>
        <w:tblPrEx>
          <w:tblLayout w:type="fixed"/>
          <w:tblCellMar>
            <w:top w:w="0" w:type="dxa"/>
            <w:left w:w="108" w:type="dxa"/>
            <w:bottom w:w="0" w:type="dxa"/>
            <w:right w:w="108" w:type="dxa"/>
          </w:tblCellMar>
        </w:tblPrEx>
        <w:trPr>
          <w:trHeight w:val="465"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hint="eastAsia" w:ascii="楷体" w:hAnsi="楷体" w:eastAsia="楷体"/>
                <w:szCs w:val="21"/>
              </w:rPr>
              <w:t>其中：生均财政专项补贴</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0.00</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0.00</w:t>
            </w:r>
          </w:p>
        </w:tc>
      </w:tr>
      <w:tr>
        <w:tblPrEx>
          <w:tblLayout w:type="fixed"/>
          <w:tblCellMar>
            <w:top w:w="0" w:type="dxa"/>
            <w:left w:w="108" w:type="dxa"/>
            <w:bottom w:w="0" w:type="dxa"/>
            <w:right w:w="108" w:type="dxa"/>
          </w:tblCellMar>
        </w:tblPrEx>
        <w:trPr>
          <w:trHeight w:val="465"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restart"/>
            <w:tcBorders>
              <w:top w:val="nil"/>
              <w:left w:val="nil"/>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5</w:t>
            </w:r>
          </w:p>
        </w:tc>
        <w:tc>
          <w:tcPr>
            <w:tcW w:w="3629" w:type="dxa"/>
            <w:gridSpan w:val="2"/>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生均企业实习责任保险补贴</w:t>
            </w:r>
          </w:p>
        </w:tc>
        <w:tc>
          <w:tcPr>
            <w:tcW w:w="859"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1344"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w:t>
            </w:r>
            <w:r>
              <w:rPr>
                <w:rFonts w:ascii="楷体" w:hAnsi="楷体" w:eastAsia="楷体"/>
                <w:szCs w:val="21"/>
              </w:rPr>
              <w:t>.00</w:t>
            </w:r>
          </w:p>
        </w:tc>
        <w:tc>
          <w:tcPr>
            <w:tcW w:w="1372"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20</w:t>
            </w:r>
            <w:r>
              <w:rPr>
                <w:rFonts w:ascii="楷体" w:hAnsi="楷体" w:eastAsia="楷体"/>
                <w:szCs w:val="21"/>
              </w:rPr>
              <w:t>.00</w:t>
            </w:r>
          </w:p>
        </w:tc>
      </w:tr>
      <w:tr>
        <w:tblPrEx>
          <w:tblLayout w:type="fixed"/>
          <w:tblCellMar>
            <w:top w:w="0" w:type="dxa"/>
            <w:left w:w="108" w:type="dxa"/>
            <w:bottom w:w="0" w:type="dxa"/>
            <w:right w:w="108" w:type="dxa"/>
          </w:tblCellMar>
        </w:tblPrEx>
        <w:trPr>
          <w:trHeight w:val="465"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629" w:type="dxa"/>
            <w:gridSpan w:val="2"/>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hint="eastAsia" w:ascii="楷体" w:hAnsi="楷体" w:eastAsia="楷体"/>
                <w:szCs w:val="21"/>
              </w:rPr>
              <w:t>其中：生均财政专项补贴</w:t>
            </w:r>
          </w:p>
        </w:tc>
        <w:tc>
          <w:tcPr>
            <w:tcW w:w="859"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1344"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0.00</w:t>
            </w:r>
          </w:p>
        </w:tc>
        <w:tc>
          <w:tcPr>
            <w:tcW w:w="1372" w:type="dxa"/>
            <w:tcBorders>
              <w:top w:val="single" w:color="auto" w:sz="4" w:space="0"/>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ascii="楷体" w:hAnsi="楷体" w:eastAsia="楷体"/>
                <w:szCs w:val="21"/>
              </w:rPr>
              <w:t>0.00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restart"/>
            <w:tcBorders>
              <w:top w:val="nil"/>
              <w:left w:val="nil"/>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6</w:t>
            </w: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企业兼职教师年课时总量</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课时</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ascii="楷体" w:hAnsi="楷体" w:eastAsia="楷体"/>
                <w:szCs w:val="21"/>
              </w:rPr>
              <w:t>11214</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ascii="楷体" w:hAnsi="楷体" w:eastAsia="楷体"/>
                <w:szCs w:val="21"/>
              </w:rPr>
              <w:t>12428</w:t>
            </w:r>
            <w:r>
              <w:rPr>
                <w:rFonts w:hint="eastAsia" w:ascii="楷体" w:hAnsi="楷体" w:eastAsia="楷体"/>
                <w:szCs w:val="21"/>
              </w:rPr>
              <w:t>.00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nil"/>
              <w:right w:val="single" w:color="auto" w:sz="4" w:space="0"/>
            </w:tcBorders>
            <w:shd w:val="clear" w:color="auto" w:fill="FDE9D9" w:themeFill="accent6" w:themeFillTint="33"/>
            <w:vAlign w:val="center"/>
          </w:tcPr>
          <w:p>
            <w:pPr>
              <w:jc w:val="center"/>
              <w:rPr>
                <w:rFonts w:ascii="楷体" w:hAnsi="楷体" w:eastAsia="楷体"/>
                <w:szCs w:val="21"/>
              </w:rPr>
            </w:pP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年支付企业兼职教师课酬</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rPr>
                <w:rFonts w:ascii="楷体" w:hAnsi="楷体" w:eastAsia="楷体"/>
                <w:szCs w:val="21"/>
              </w:rPr>
            </w:pPr>
            <w:r>
              <w:rPr>
                <w:rFonts w:hint="eastAsia" w:ascii="楷体" w:hAnsi="楷体" w:eastAsia="楷体"/>
                <w:szCs w:val="21"/>
              </w:rPr>
              <w:t>824229.00</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hint="eastAsia" w:ascii="楷体" w:hAnsi="楷体" w:eastAsia="楷体"/>
                <w:szCs w:val="21"/>
              </w:rPr>
              <w:t>922157.60</w:t>
            </w:r>
          </w:p>
        </w:tc>
      </w:tr>
      <w:tr>
        <w:tblPrEx>
          <w:tblLayout w:type="fixed"/>
          <w:tblCellMar>
            <w:top w:w="0" w:type="dxa"/>
            <w:left w:w="108" w:type="dxa"/>
            <w:bottom w:w="0" w:type="dxa"/>
            <w:right w:w="108" w:type="dxa"/>
          </w:tblCellMar>
        </w:tblPrEx>
        <w:trPr>
          <w:trHeight w:val="390" w:hRule="atLeast"/>
          <w:jc w:val="center"/>
        </w:trPr>
        <w:tc>
          <w:tcPr>
            <w:tcW w:w="929" w:type="dxa"/>
            <w:vMerge w:val="continue"/>
            <w:tcBorders>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929" w:type="dxa"/>
            <w:vMerge w:val="continue"/>
            <w:tcBorders>
              <w:left w:val="single" w:color="auto" w:sz="4" w:space="0"/>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464" w:type="dxa"/>
            <w:vMerge w:val="continue"/>
            <w:tcBorders>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p>
        </w:tc>
        <w:tc>
          <w:tcPr>
            <w:tcW w:w="3629" w:type="dxa"/>
            <w:gridSpan w:val="2"/>
            <w:tcBorders>
              <w:top w:val="single" w:color="auto" w:sz="4" w:space="0"/>
              <w:left w:val="nil"/>
              <w:bottom w:val="single" w:color="auto" w:sz="4" w:space="0"/>
              <w:right w:val="single" w:color="auto" w:sz="4" w:space="0"/>
            </w:tcBorders>
            <w:shd w:val="clear" w:color="auto" w:fill="FDE9D9" w:themeFill="accent6" w:themeFillTint="33"/>
            <w:vAlign w:val="center"/>
          </w:tcPr>
          <w:p>
            <w:pPr>
              <w:ind w:firstLine="210" w:firstLineChars="100"/>
              <w:rPr>
                <w:rFonts w:ascii="楷体" w:hAnsi="楷体" w:eastAsia="楷体"/>
                <w:szCs w:val="21"/>
              </w:rPr>
            </w:pPr>
            <w:r>
              <w:rPr>
                <w:rFonts w:hint="eastAsia" w:ascii="楷体" w:hAnsi="楷体" w:eastAsia="楷体"/>
                <w:szCs w:val="21"/>
              </w:rPr>
              <w:t>其中：财政专项补贴</w:t>
            </w:r>
          </w:p>
        </w:tc>
        <w:tc>
          <w:tcPr>
            <w:tcW w:w="859"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元</w:t>
            </w:r>
          </w:p>
        </w:tc>
        <w:tc>
          <w:tcPr>
            <w:tcW w:w="1344"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0.00</w:t>
            </w:r>
          </w:p>
        </w:tc>
        <w:tc>
          <w:tcPr>
            <w:tcW w:w="1372" w:type="dxa"/>
            <w:tcBorders>
              <w:top w:val="single" w:color="auto" w:sz="4" w:space="0"/>
              <w:left w:val="nil"/>
              <w:bottom w:val="single" w:color="auto" w:sz="4" w:space="0"/>
              <w:right w:val="single" w:color="auto" w:sz="4" w:space="0"/>
            </w:tcBorders>
            <w:shd w:val="clear" w:color="auto" w:fill="FDE9D9" w:themeFill="accent6" w:themeFillTint="33"/>
            <w:vAlign w:val="center"/>
          </w:tcPr>
          <w:p>
            <w:pPr>
              <w:jc w:val="center"/>
              <w:rPr>
                <w:rFonts w:ascii="楷体" w:hAnsi="楷体" w:eastAsia="楷体"/>
                <w:szCs w:val="21"/>
              </w:rPr>
            </w:pPr>
            <w:r>
              <w:rPr>
                <w:rFonts w:hint="eastAsia" w:ascii="楷体" w:hAnsi="楷体" w:eastAsia="楷体"/>
                <w:szCs w:val="21"/>
              </w:rPr>
              <w:t>0.00</w:t>
            </w:r>
          </w:p>
        </w:tc>
      </w:tr>
    </w:tbl>
    <w:p>
      <w:pPr>
        <w:pStyle w:val="50"/>
        <w:rPr>
          <w:highlight w:val="yellow"/>
        </w:rPr>
      </w:pPr>
    </w:p>
    <w:p>
      <w:pPr>
        <w:pStyle w:val="50"/>
        <w:rPr>
          <w:highlight w:val="yellow"/>
        </w:rPr>
      </w:pPr>
    </w:p>
    <w:p>
      <w:pPr>
        <w:pStyle w:val="50"/>
        <w:rPr>
          <w:highlight w:val="yellow"/>
        </w:rPr>
      </w:pPr>
    </w:p>
    <w:p>
      <w:pPr>
        <w:pStyle w:val="50"/>
      </w:pPr>
    </w:p>
    <w:sectPr>
      <w:pgSz w:w="11907" w:h="16839"/>
      <w:pgMar w:top="1361" w:right="1417" w:bottom="1361" w:left="1417"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altName w:val="微软雅黑"/>
    <w:panose1 w:val="00000000000000000000"/>
    <w:charset w:val="86"/>
    <w:family w:val="script"/>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
    <w:pitch w:val="default"/>
    <w:sig w:usb0="E0002AFF" w:usb1="C0007843" w:usb2="00000009" w:usb3="00000000" w:csb0="400001FF" w:csb1="FFFF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581"/>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0886484"/>
    </w:sdtPr>
    <w:sdtContent>
      <w:p>
        <w:pPr>
          <w:pStyle w:val="12"/>
          <w:jc w:val="center"/>
        </w:pPr>
        <w:r>
          <w:fldChar w:fldCharType="begin"/>
        </w:r>
        <w:r>
          <w:instrText xml:space="preserve">PAGE   \* MERGEFORMAT</w:instrText>
        </w:r>
        <w:r>
          <w:fldChar w:fldCharType="separate"/>
        </w:r>
        <w:r>
          <w:rPr>
            <w:lang w:val="zh-CN"/>
          </w:rPr>
          <w:t>4</w:t>
        </w:r>
        <w:r>
          <w:rPr>
            <w:lang w:val="zh-CN"/>
          </w:rP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tabs>
        <w:tab w:val="left" w:pos="5496"/>
        <w:tab w:val="clear" w:pos="4153"/>
      </w:tabs>
      <w:rPr>
        <w:b/>
        <w:bCs/>
      </w:rPr>
    </w:pPr>
    <w:r>
      <w:rPr>
        <w:rFonts w:hint="eastAsia"/>
      </w:rPr>
      <w:drawing>
        <wp:inline distT="0" distB="0" distL="0" distR="0">
          <wp:extent cx="1492250" cy="267335"/>
          <wp:effectExtent l="0" t="0" r="0" b="0"/>
          <wp:docPr id="1" name="图片 2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图片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92250" cy="267335"/>
                  </a:xfrm>
                  <a:prstGeom prst="rect">
                    <a:avLst/>
                  </a:prstGeom>
                  <a:noFill/>
                  <a:ln>
                    <a:noFill/>
                  </a:ln>
                </pic:spPr>
              </pic:pic>
            </a:graphicData>
          </a:graphic>
        </wp:inline>
      </w:drawing>
    </w:r>
    <w:r>
      <w:rPr>
        <w:rFonts w:hint="eastAsia"/>
      </w:rPr>
      <w:t xml:space="preserve">                                           </w:t>
    </w:r>
    <w:r>
      <w:rPr>
        <w:rFonts w:hint="eastAsia" w:ascii="黑体" w:hAnsi="黑体" w:eastAsia="黑体" w:cs="黑体"/>
      </w:rPr>
      <w:t>高等职业教育质量年度报告（2020）</w:t>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1F4"/>
    <w:rsid w:val="0000174A"/>
    <w:rsid w:val="0000584A"/>
    <w:rsid w:val="0000631B"/>
    <w:rsid w:val="00007934"/>
    <w:rsid w:val="0001465C"/>
    <w:rsid w:val="00016BEA"/>
    <w:rsid w:val="000222C6"/>
    <w:rsid w:val="00024197"/>
    <w:rsid w:val="00026245"/>
    <w:rsid w:val="00026B66"/>
    <w:rsid w:val="00026BEF"/>
    <w:rsid w:val="00031E6B"/>
    <w:rsid w:val="0003323D"/>
    <w:rsid w:val="0003424C"/>
    <w:rsid w:val="00036B98"/>
    <w:rsid w:val="000409D1"/>
    <w:rsid w:val="00041216"/>
    <w:rsid w:val="00041444"/>
    <w:rsid w:val="00044254"/>
    <w:rsid w:val="00044E4F"/>
    <w:rsid w:val="00051414"/>
    <w:rsid w:val="000541CE"/>
    <w:rsid w:val="00055046"/>
    <w:rsid w:val="0005560E"/>
    <w:rsid w:val="00055848"/>
    <w:rsid w:val="0005710D"/>
    <w:rsid w:val="000601AD"/>
    <w:rsid w:val="000648AF"/>
    <w:rsid w:val="00064E49"/>
    <w:rsid w:val="00065FE5"/>
    <w:rsid w:val="000667DD"/>
    <w:rsid w:val="00067261"/>
    <w:rsid w:val="00067A02"/>
    <w:rsid w:val="00067EA4"/>
    <w:rsid w:val="000703E9"/>
    <w:rsid w:val="00071A77"/>
    <w:rsid w:val="0007321A"/>
    <w:rsid w:val="00073FFF"/>
    <w:rsid w:val="00077CC2"/>
    <w:rsid w:val="00077DB5"/>
    <w:rsid w:val="00077E43"/>
    <w:rsid w:val="00080D14"/>
    <w:rsid w:val="000814EC"/>
    <w:rsid w:val="00081643"/>
    <w:rsid w:val="000817B8"/>
    <w:rsid w:val="00083F7D"/>
    <w:rsid w:val="00083FC7"/>
    <w:rsid w:val="00084F5F"/>
    <w:rsid w:val="00084FAF"/>
    <w:rsid w:val="00085CF2"/>
    <w:rsid w:val="000917EF"/>
    <w:rsid w:val="00092118"/>
    <w:rsid w:val="0009295B"/>
    <w:rsid w:val="00092F78"/>
    <w:rsid w:val="00096D87"/>
    <w:rsid w:val="000A18AB"/>
    <w:rsid w:val="000A1CE3"/>
    <w:rsid w:val="000A70C3"/>
    <w:rsid w:val="000A76E4"/>
    <w:rsid w:val="000B036A"/>
    <w:rsid w:val="000B1F0C"/>
    <w:rsid w:val="000B35FA"/>
    <w:rsid w:val="000B4229"/>
    <w:rsid w:val="000B560D"/>
    <w:rsid w:val="000B71DE"/>
    <w:rsid w:val="000C02CA"/>
    <w:rsid w:val="000C19FA"/>
    <w:rsid w:val="000C246E"/>
    <w:rsid w:val="000C2C92"/>
    <w:rsid w:val="000C3D2D"/>
    <w:rsid w:val="000C43F7"/>
    <w:rsid w:val="000C52AC"/>
    <w:rsid w:val="000C60B8"/>
    <w:rsid w:val="000C735E"/>
    <w:rsid w:val="000C7AB4"/>
    <w:rsid w:val="000D429C"/>
    <w:rsid w:val="000D4C2E"/>
    <w:rsid w:val="000D5A4A"/>
    <w:rsid w:val="000D788E"/>
    <w:rsid w:val="000E341F"/>
    <w:rsid w:val="000E3D13"/>
    <w:rsid w:val="000E4B17"/>
    <w:rsid w:val="000E5A5F"/>
    <w:rsid w:val="000E69BD"/>
    <w:rsid w:val="000F0644"/>
    <w:rsid w:val="000F4993"/>
    <w:rsid w:val="000F5547"/>
    <w:rsid w:val="000F6933"/>
    <w:rsid w:val="000F72B3"/>
    <w:rsid w:val="000F7C44"/>
    <w:rsid w:val="001005D2"/>
    <w:rsid w:val="0010106C"/>
    <w:rsid w:val="001018CA"/>
    <w:rsid w:val="0010259C"/>
    <w:rsid w:val="001027C1"/>
    <w:rsid w:val="00103BCF"/>
    <w:rsid w:val="00103F57"/>
    <w:rsid w:val="001077EF"/>
    <w:rsid w:val="00107FBB"/>
    <w:rsid w:val="00110CDE"/>
    <w:rsid w:val="00111FCD"/>
    <w:rsid w:val="00113723"/>
    <w:rsid w:val="00114CED"/>
    <w:rsid w:val="00117C2D"/>
    <w:rsid w:val="001200A3"/>
    <w:rsid w:val="00121B0A"/>
    <w:rsid w:val="00121F7D"/>
    <w:rsid w:val="00123BDA"/>
    <w:rsid w:val="00126C22"/>
    <w:rsid w:val="001270EB"/>
    <w:rsid w:val="001272E3"/>
    <w:rsid w:val="00127661"/>
    <w:rsid w:val="00127A77"/>
    <w:rsid w:val="00131612"/>
    <w:rsid w:val="00133413"/>
    <w:rsid w:val="0013708F"/>
    <w:rsid w:val="001372B3"/>
    <w:rsid w:val="001407D2"/>
    <w:rsid w:val="00141214"/>
    <w:rsid w:val="00143F62"/>
    <w:rsid w:val="001452A1"/>
    <w:rsid w:val="00146383"/>
    <w:rsid w:val="00146838"/>
    <w:rsid w:val="00146BA9"/>
    <w:rsid w:val="0015004B"/>
    <w:rsid w:val="001510EF"/>
    <w:rsid w:val="001519D4"/>
    <w:rsid w:val="00152135"/>
    <w:rsid w:val="00153F8F"/>
    <w:rsid w:val="00154938"/>
    <w:rsid w:val="00157297"/>
    <w:rsid w:val="00160057"/>
    <w:rsid w:val="0016014D"/>
    <w:rsid w:val="001607ED"/>
    <w:rsid w:val="00160AB7"/>
    <w:rsid w:val="00161643"/>
    <w:rsid w:val="001619C9"/>
    <w:rsid w:val="001636DA"/>
    <w:rsid w:val="001661C1"/>
    <w:rsid w:val="00167219"/>
    <w:rsid w:val="00167289"/>
    <w:rsid w:val="00171D23"/>
    <w:rsid w:val="00172A27"/>
    <w:rsid w:val="0017495E"/>
    <w:rsid w:val="00175865"/>
    <w:rsid w:val="00177822"/>
    <w:rsid w:val="00180335"/>
    <w:rsid w:val="0018219D"/>
    <w:rsid w:val="00182B08"/>
    <w:rsid w:val="001832DA"/>
    <w:rsid w:val="0018372A"/>
    <w:rsid w:val="00184024"/>
    <w:rsid w:val="001846F2"/>
    <w:rsid w:val="00184D15"/>
    <w:rsid w:val="001853F9"/>
    <w:rsid w:val="0018643B"/>
    <w:rsid w:val="0018782B"/>
    <w:rsid w:val="001911ED"/>
    <w:rsid w:val="001928C9"/>
    <w:rsid w:val="00196928"/>
    <w:rsid w:val="001972EF"/>
    <w:rsid w:val="001978AA"/>
    <w:rsid w:val="00197F2A"/>
    <w:rsid w:val="001A27E3"/>
    <w:rsid w:val="001A3D75"/>
    <w:rsid w:val="001A4F1A"/>
    <w:rsid w:val="001A6A38"/>
    <w:rsid w:val="001B0A5F"/>
    <w:rsid w:val="001B0EBD"/>
    <w:rsid w:val="001B1830"/>
    <w:rsid w:val="001B211D"/>
    <w:rsid w:val="001B2A6E"/>
    <w:rsid w:val="001B3193"/>
    <w:rsid w:val="001B49C7"/>
    <w:rsid w:val="001C4340"/>
    <w:rsid w:val="001C50D0"/>
    <w:rsid w:val="001C7E42"/>
    <w:rsid w:val="001D0B1A"/>
    <w:rsid w:val="001D13BD"/>
    <w:rsid w:val="001D2EF9"/>
    <w:rsid w:val="001D3888"/>
    <w:rsid w:val="001D41D8"/>
    <w:rsid w:val="001D7CAF"/>
    <w:rsid w:val="001E0C42"/>
    <w:rsid w:val="001E1980"/>
    <w:rsid w:val="001E1A81"/>
    <w:rsid w:val="001E296F"/>
    <w:rsid w:val="001E41C8"/>
    <w:rsid w:val="001E4977"/>
    <w:rsid w:val="001E62FB"/>
    <w:rsid w:val="001E74D9"/>
    <w:rsid w:val="001F0B2C"/>
    <w:rsid w:val="001F130D"/>
    <w:rsid w:val="001F1DDE"/>
    <w:rsid w:val="001F2FCE"/>
    <w:rsid w:val="001F7C20"/>
    <w:rsid w:val="00201738"/>
    <w:rsid w:val="00210E85"/>
    <w:rsid w:val="0021300E"/>
    <w:rsid w:val="002143FA"/>
    <w:rsid w:val="00214B71"/>
    <w:rsid w:val="00215559"/>
    <w:rsid w:val="002166C2"/>
    <w:rsid w:val="00216C90"/>
    <w:rsid w:val="002170A8"/>
    <w:rsid w:val="00217859"/>
    <w:rsid w:val="00221BB9"/>
    <w:rsid w:val="00223146"/>
    <w:rsid w:val="00223465"/>
    <w:rsid w:val="00223A18"/>
    <w:rsid w:val="002243E8"/>
    <w:rsid w:val="00224E71"/>
    <w:rsid w:val="00224FC1"/>
    <w:rsid w:val="00225470"/>
    <w:rsid w:val="00227D9A"/>
    <w:rsid w:val="00231D02"/>
    <w:rsid w:val="002329F6"/>
    <w:rsid w:val="0023599A"/>
    <w:rsid w:val="00236B31"/>
    <w:rsid w:val="0023734F"/>
    <w:rsid w:val="0024213C"/>
    <w:rsid w:val="002424C0"/>
    <w:rsid w:val="00243C74"/>
    <w:rsid w:val="00243D8C"/>
    <w:rsid w:val="002457AD"/>
    <w:rsid w:val="00245D1A"/>
    <w:rsid w:val="00246BE5"/>
    <w:rsid w:val="0024790E"/>
    <w:rsid w:val="00251A90"/>
    <w:rsid w:val="002534B8"/>
    <w:rsid w:val="00253D3F"/>
    <w:rsid w:val="00253DB6"/>
    <w:rsid w:val="002545C5"/>
    <w:rsid w:val="00255BC6"/>
    <w:rsid w:val="002611B4"/>
    <w:rsid w:val="0026312C"/>
    <w:rsid w:val="00266141"/>
    <w:rsid w:val="0026770B"/>
    <w:rsid w:val="00267BD5"/>
    <w:rsid w:val="0027004C"/>
    <w:rsid w:val="002723BE"/>
    <w:rsid w:val="002734C5"/>
    <w:rsid w:val="002739A4"/>
    <w:rsid w:val="002742B7"/>
    <w:rsid w:val="00275D4E"/>
    <w:rsid w:val="002770C1"/>
    <w:rsid w:val="00277D8B"/>
    <w:rsid w:val="00280EA8"/>
    <w:rsid w:val="00281AAD"/>
    <w:rsid w:val="002844AF"/>
    <w:rsid w:val="00284855"/>
    <w:rsid w:val="002900FF"/>
    <w:rsid w:val="00291FB1"/>
    <w:rsid w:val="002923FF"/>
    <w:rsid w:val="00294110"/>
    <w:rsid w:val="00295CDF"/>
    <w:rsid w:val="00296125"/>
    <w:rsid w:val="002974D6"/>
    <w:rsid w:val="00297C49"/>
    <w:rsid w:val="00297DA9"/>
    <w:rsid w:val="002A6501"/>
    <w:rsid w:val="002B0F4B"/>
    <w:rsid w:val="002B2040"/>
    <w:rsid w:val="002B506D"/>
    <w:rsid w:val="002B5332"/>
    <w:rsid w:val="002B56F9"/>
    <w:rsid w:val="002B5CF1"/>
    <w:rsid w:val="002B6058"/>
    <w:rsid w:val="002C0333"/>
    <w:rsid w:val="002C0B79"/>
    <w:rsid w:val="002C1A73"/>
    <w:rsid w:val="002C2A2A"/>
    <w:rsid w:val="002C435A"/>
    <w:rsid w:val="002C44C9"/>
    <w:rsid w:val="002C4872"/>
    <w:rsid w:val="002C51D6"/>
    <w:rsid w:val="002C5CAE"/>
    <w:rsid w:val="002D0BCF"/>
    <w:rsid w:val="002D1BFF"/>
    <w:rsid w:val="002D3C4A"/>
    <w:rsid w:val="002D48FE"/>
    <w:rsid w:val="002D4C16"/>
    <w:rsid w:val="002D5186"/>
    <w:rsid w:val="002D59F7"/>
    <w:rsid w:val="002D65E1"/>
    <w:rsid w:val="002D718A"/>
    <w:rsid w:val="002E54EA"/>
    <w:rsid w:val="002E61EA"/>
    <w:rsid w:val="002E7964"/>
    <w:rsid w:val="002E7C08"/>
    <w:rsid w:val="002F0489"/>
    <w:rsid w:val="002F0CDF"/>
    <w:rsid w:val="002F2825"/>
    <w:rsid w:val="002F29AA"/>
    <w:rsid w:val="002F4C83"/>
    <w:rsid w:val="002F5B3A"/>
    <w:rsid w:val="0030014B"/>
    <w:rsid w:val="00301FCD"/>
    <w:rsid w:val="00305E39"/>
    <w:rsid w:val="00305E7A"/>
    <w:rsid w:val="00315333"/>
    <w:rsid w:val="00321EA8"/>
    <w:rsid w:val="0032214B"/>
    <w:rsid w:val="00324AA2"/>
    <w:rsid w:val="00325ECF"/>
    <w:rsid w:val="00326D8D"/>
    <w:rsid w:val="00327D88"/>
    <w:rsid w:val="00331B2A"/>
    <w:rsid w:val="00333252"/>
    <w:rsid w:val="003345A3"/>
    <w:rsid w:val="00334D0E"/>
    <w:rsid w:val="003369CD"/>
    <w:rsid w:val="00340D1C"/>
    <w:rsid w:val="00347230"/>
    <w:rsid w:val="00347477"/>
    <w:rsid w:val="003474C4"/>
    <w:rsid w:val="00350A42"/>
    <w:rsid w:val="00353AC8"/>
    <w:rsid w:val="0035637E"/>
    <w:rsid w:val="00357458"/>
    <w:rsid w:val="00357730"/>
    <w:rsid w:val="00360A05"/>
    <w:rsid w:val="00361164"/>
    <w:rsid w:val="003613F3"/>
    <w:rsid w:val="003614AE"/>
    <w:rsid w:val="00362803"/>
    <w:rsid w:val="00363B6C"/>
    <w:rsid w:val="00364D56"/>
    <w:rsid w:val="00365059"/>
    <w:rsid w:val="0036743D"/>
    <w:rsid w:val="00370ED9"/>
    <w:rsid w:val="00370FB1"/>
    <w:rsid w:val="00372737"/>
    <w:rsid w:val="00374862"/>
    <w:rsid w:val="00374957"/>
    <w:rsid w:val="00374AF7"/>
    <w:rsid w:val="003757CA"/>
    <w:rsid w:val="0037692D"/>
    <w:rsid w:val="00376DDD"/>
    <w:rsid w:val="00377700"/>
    <w:rsid w:val="003804A7"/>
    <w:rsid w:val="00381BB5"/>
    <w:rsid w:val="0038360A"/>
    <w:rsid w:val="00386D6D"/>
    <w:rsid w:val="0039085E"/>
    <w:rsid w:val="0039093A"/>
    <w:rsid w:val="00391186"/>
    <w:rsid w:val="00391C47"/>
    <w:rsid w:val="00392700"/>
    <w:rsid w:val="00394416"/>
    <w:rsid w:val="00394D53"/>
    <w:rsid w:val="00396F9D"/>
    <w:rsid w:val="003A351E"/>
    <w:rsid w:val="003A61D5"/>
    <w:rsid w:val="003B0EC9"/>
    <w:rsid w:val="003B128D"/>
    <w:rsid w:val="003B1D9B"/>
    <w:rsid w:val="003B37DE"/>
    <w:rsid w:val="003B58F4"/>
    <w:rsid w:val="003B6429"/>
    <w:rsid w:val="003C1E02"/>
    <w:rsid w:val="003C2313"/>
    <w:rsid w:val="003C37CB"/>
    <w:rsid w:val="003C6CD5"/>
    <w:rsid w:val="003D0831"/>
    <w:rsid w:val="003D211D"/>
    <w:rsid w:val="003D2998"/>
    <w:rsid w:val="003D35A1"/>
    <w:rsid w:val="003D6383"/>
    <w:rsid w:val="003D700F"/>
    <w:rsid w:val="003D749F"/>
    <w:rsid w:val="003E1641"/>
    <w:rsid w:val="003E3C68"/>
    <w:rsid w:val="003E48A4"/>
    <w:rsid w:val="003E4B8C"/>
    <w:rsid w:val="003E589D"/>
    <w:rsid w:val="003E6458"/>
    <w:rsid w:val="003F14FC"/>
    <w:rsid w:val="003F553E"/>
    <w:rsid w:val="003F5C8B"/>
    <w:rsid w:val="003F6C23"/>
    <w:rsid w:val="003F7740"/>
    <w:rsid w:val="00401519"/>
    <w:rsid w:val="0040426D"/>
    <w:rsid w:val="004055CE"/>
    <w:rsid w:val="004056D4"/>
    <w:rsid w:val="00405D46"/>
    <w:rsid w:val="004074F2"/>
    <w:rsid w:val="004103C3"/>
    <w:rsid w:val="00417DBF"/>
    <w:rsid w:val="004218F3"/>
    <w:rsid w:val="004250EC"/>
    <w:rsid w:val="00427217"/>
    <w:rsid w:val="00427481"/>
    <w:rsid w:val="004276E1"/>
    <w:rsid w:val="00427E82"/>
    <w:rsid w:val="0043065F"/>
    <w:rsid w:val="00431500"/>
    <w:rsid w:val="0043167B"/>
    <w:rsid w:val="00434293"/>
    <w:rsid w:val="0043491E"/>
    <w:rsid w:val="00434B24"/>
    <w:rsid w:val="00435AD9"/>
    <w:rsid w:val="0044005B"/>
    <w:rsid w:val="00440235"/>
    <w:rsid w:val="00445299"/>
    <w:rsid w:val="00447DA1"/>
    <w:rsid w:val="0045079D"/>
    <w:rsid w:val="0045242A"/>
    <w:rsid w:val="004525EF"/>
    <w:rsid w:val="004534C8"/>
    <w:rsid w:val="00453676"/>
    <w:rsid w:val="00454063"/>
    <w:rsid w:val="00457AAC"/>
    <w:rsid w:val="00460C06"/>
    <w:rsid w:val="004613C5"/>
    <w:rsid w:val="0046277D"/>
    <w:rsid w:val="00463F3E"/>
    <w:rsid w:val="00465205"/>
    <w:rsid w:val="004655B1"/>
    <w:rsid w:val="00465FFC"/>
    <w:rsid w:val="0047059A"/>
    <w:rsid w:val="00471C6B"/>
    <w:rsid w:val="00473EA4"/>
    <w:rsid w:val="0047444E"/>
    <w:rsid w:val="00475CEA"/>
    <w:rsid w:val="00480E31"/>
    <w:rsid w:val="00480FF2"/>
    <w:rsid w:val="00484FC3"/>
    <w:rsid w:val="0048573E"/>
    <w:rsid w:val="004867DB"/>
    <w:rsid w:val="00490032"/>
    <w:rsid w:val="00490F71"/>
    <w:rsid w:val="00491545"/>
    <w:rsid w:val="00491DC6"/>
    <w:rsid w:val="00492623"/>
    <w:rsid w:val="0049287F"/>
    <w:rsid w:val="004935E3"/>
    <w:rsid w:val="00493EA2"/>
    <w:rsid w:val="00495B7D"/>
    <w:rsid w:val="004A0438"/>
    <w:rsid w:val="004A0478"/>
    <w:rsid w:val="004A17D1"/>
    <w:rsid w:val="004A274D"/>
    <w:rsid w:val="004A31E4"/>
    <w:rsid w:val="004A3EB1"/>
    <w:rsid w:val="004A4A66"/>
    <w:rsid w:val="004A528F"/>
    <w:rsid w:val="004A542C"/>
    <w:rsid w:val="004A6116"/>
    <w:rsid w:val="004A794A"/>
    <w:rsid w:val="004B19C7"/>
    <w:rsid w:val="004B6AFC"/>
    <w:rsid w:val="004B6F19"/>
    <w:rsid w:val="004C03BD"/>
    <w:rsid w:val="004C32E5"/>
    <w:rsid w:val="004C40CE"/>
    <w:rsid w:val="004C7063"/>
    <w:rsid w:val="004C73A9"/>
    <w:rsid w:val="004D0544"/>
    <w:rsid w:val="004D211D"/>
    <w:rsid w:val="004D2A0F"/>
    <w:rsid w:val="004D3D1C"/>
    <w:rsid w:val="004D4696"/>
    <w:rsid w:val="004D5583"/>
    <w:rsid w:val="004D5CA2"/>
    <w:rsid w:val="004E0BB4"/>
    <w:rsid w:val="004E0F97"/>
    <w:rsid w:val="004E1F97"/>
    <w:rsid w:val="004F019F"/>
    <w:rsid w:val="004F1F99"/>
    <w:rsid w:val="004F22AE"/>
    <w:rsid w:val="004F3664"/>
    <w:rsid w:val="004F6608"/>
    <w:rsid w:val="00500745"/>
    <w:rsid w:val="00501B0A"/>
    <w:rsid w:val="00503F5A"/>
    <w:rsid w:val="0050411B"/>
    <w:rsid w:val="005066AA"/>
    <w:rsid w:val="00506892"/>
    <w:rsid w:val="0050756B"/>
    <w:rsid w:val="00507A7E"/>
    <w:rsid w:val="0051061D"/>
    <w:rsid w:val="00511073"/>
    <w:rsid w:val="005145D0"/>
    <w:rsid w:val="005145FA"/>
    <w:rsid w:val="00515F08"/>
    <w:rsid w:val="00516020"/>
    <w:rsid w:val="00516CCE"/>
    <w:rsid w:val="00517106"/>
    <w:rsid w:val="00517850"/>
    <w:rsid w:val="00521C6B"/>
    <w:rsid w:val="00523451"/>
    <w:rsid w:val="0052378A"/>
    <w:rsid w:val="0052388A"/>
    <w:rsid w:val="00524527"/>
    <w:rsid w:val="00525792"/>
    <w:rsid w:val="00525CA0"/>
    <w:rsid w:val="00525CD1"/>
    <w:rsid w:val="005271D1"/>
    <w:rsid w:val="005272D5"/>
    <w:rsid w:val="00532C91"/>
    <w:rsid w:val="00532D22"/>
    <w:rsid w:val="005336C9"/>
    <w:rsid w:val="0053451D"/>
    <w:rsid w:val="005352D7"/>
    <w:rsid w:val="00535ACB"/>
    <w:rsid w:val="00537BC7"/>
    <w:rsid w:val="00540C5B"/>
    <w:rsid w:val="00541558"/>
    <w:rsid w:val="00543093"/>
    <w:rsid w:val="00544200"/>
    <w:rsid w:val="00544831"/>
    <w:rsid w:val="00546E30"/>
    <w:rsid w:val="00551482"/>
    <w:rsid w:val="00552574"/>
    <w:rsid w:val="005539A1"/>
    <w:rsid w:val="00553BE8"/>
    <w:rsid w:val="00554444"/>
    <w:rsid w:val="00555520"/>
    <w:rsid w:val="005575C1"/>
    <w:rsid w:val="0056392C"/>
    <w:rsid w:val="00570BC8"/>
    <w:rsid w:val="00570D64"/>
    <w:rsid w:val="005713A7"/>
    <w:rsid w:val="00571DAC"/>
    <w:rsid w:val="0057524D"/>
    <w:rsid w:val="00577D20"/>
    <w:rsid w:val="00581642"/>
    <w:rsid w:val="0058264D"/>
    <w:rsid w:val="00584111"/>
    <w:rsid w:val="00587A6A"/>
    <w:rsid w:val="00592C6A"/>
    <w:rsid w:val="00594C55"/>
    <w:rsid w:val="005964C8"/>
    <w:rsid w:val="0059730B"/>
    <w:rsid w:val="005A180C"/>
    <w:rsid w:val="005A1DE1"/>
    <w:rsid w:val="005A3132"/>
    <w:rsid w:val="005A3CE3"/>
    <w:rsid w:val="005A43B8"/>
    <w:rsid w:val="005A52EF"/>
    <w:rsid w:val="005A6B9B"/>
    <w:rsid w:val="005A71CC"/>
    <w:rsid w:val="005A7A53"/>
    <w:rsid w:val="005B1709"/>
    <w:rsid w:val="005B1C4D"/>
    <w:rsid w:val="005B217E"/>
    <w:rsid w:val="005B296F"/>
    <w:rsid w:val="005B2A7B"/>
    <w:rsid w:val="005B3BA6"/>
    <w:rsid w:val="005B41CA"/>
    <w:rsid w:val="005C10A4"/>
    <w:rsid w:val="005C2AF8"/>
    <w:rsid w:val="005C3B8A"/>
    <w:rsid w:val="005C74BD"/>
    <w:rsid w:val="005C784A"/>
    <w:rsid w:val="005D0022"/>
    <w:rsid w:val="005D0C5D"/>
    <w:rsid w:val="005D0ECB"/>
    <w:rsid w:val="005D65B9"/>
    <w:rsid w:val="005D77B8"/>
    <w:rsid w:val="005E1439"/>
    <w:rsid w:val="005E24CE"/>
    <w:rsid w:val="005E2572"/>
    <w:rsid w:val="005E308F"/>
    <w:rsid w:val="005E4100"/>
    <w:rsid w:val="005E73C7"/>
    <w:rsid w:val="005F1DB0"/>
    <w:rsid w:val="005F6AF7"/>
    <w:rsid w:val="005F6B6E"/>
    <w:rsid w:val="00602F07"/>
    <w:rsid w:val="00603A07"/>
    <w:rsid w:val="0060423A"/>
    <w:rsid w:val="00605B9B"/>
    <w:rsid w:val="00605C28"/>
    <w:rsid w:val="00607213"/>
    <w:rsid w:val="00607ED5"/>
    <w:rsid w:val="0061057C"/>
    <w:rsid w:val="0061075B"/>
    <w:rsid w:val="00620441"/>
    <w:rsid w:val="00620A5B"/>
    <w:rsid w:val="00622CDE"/>
    <w:rsid w:val="00624C0E"/>
    <w:rsid w:val="0062513B"/>
    <w:rsid w:val="0062532F"/>
    <w:rsid w:val="006300A0"/>
    <w:rsid w:val="006323AF"/>
    <w:rsid w:val="00633785"/>
    <w:rsid w:val="00633F92"/>
    <w:rsid w:val="0064071E"/>
    <w:rsid w:val="00640B2E"/>
    <w:rsid w:val="006413F4"/>
    <w:rsid w:val="0064236B"/>
    <w:rsid w:val="00642F84"/>
    <w:rsid w:val="00643D7C"/>
    <w:rsid w:val="00643F1B"/>
    <w:rsid w:val="00646252"/>
    <w:rsid w:val="006501AB"/>
    <w:rsid w:val="00650D8A"/>
    <w:rsid w:val="00651632"/>
    <w:rsid w:val="00652C84"/>
    <w:rsid w:val="0065470E"/>
    <w:rsid w:val="00654C04"/>
    <w:rsid w:val="006555AF"/>
    <w:rsid w:val="00657703"/>
    <w:rsid w:val="0065771B"/>
    <w:rsid w:val="006604D6"/>
    <w:rsid w:val="00662317"/>
    <w:rsid w:val="00665279"/>
    <w:rsid w:val="006654AB"/>
    <w:rsid w:val="00665A1B"/>
    <w:rsid w:val="0066676A"/>
    <w:rsid w:val="0066743E"/>
    <w:rsid w:val="00667DE7"/>
    <w:rsid w:val="006706B4"/>
    <w:rsid w:val="006766DA"/>
    <w:rsid w:val="00677B48"/>
    <w:rsid w:val="00681710"/>
    <w:rsid w:val="00681E1D"/>
    <w:rsid w:val="00690306"/>
    <w:rsid w:val="00690BDF"/>
    <w:rsid w:val="006948AF"/>
    <w:rsid w:val="00696438"/>
    <w:rsid w:val="006A06CB"/>
    <w:rsid w:val="006A0F26"/>
    <w:rsid w:val="006A13F2"/>
    <w:rsid w:val="006A3364"/>
    <w:rsid w:val="006A3CFB"/>
    <w:rsid w:val="006B0E82"/>
    <w:rsid w:val="006B1DE3"/>
    <w:rsid w:val="006B2FBD"/>
    <w:rsid w:val="006B337D"/>
    <w:rsid w:val="006B4F57"/>
    <w:rsid w:val="006C243A"/>
    <w:rsid w:val="006C2FDF"/>
    <w:rsid w:val="006C62B2"/>
    <w:rsid w:val="006D0AD6"/>
    <w:rsid w:val="006D1F91"/>
    <w:rsid w:val="006D45F0"/>
    <w:rsid w:val="006D519D"/>
    <w:rsid w:val="006D57AA"/>
    <w:rsid w:val="006E03DC"/>
    <w:rsid w:val="006E1B85"/>
    <w:rsid w:val="006E2772"/>
    <w:rsid w:val="006E491B"/>
    <w:rsid w:val="006E5ABE"/>
    <w:rsid w:val="006E6F18"/>
    <w:rsid w:val="006E728D"/>
    <w:rsid w:val="006F0242"/>
    <w:rsid w:val="006F3B7D"/>
    <w:rsid w:val="006F5778"/>
    <w:rsid w:val="006F753C"/>
    <w:rsid w:val="00701782"/>
    <w:rsid w:val="007020C5"/>
    <w:rsid w:val="007050D7"/>
    <w:rsid w:val="00705881"/>
    <w:rsid w:val="00707831"/>
    <w:rsid w:val="007109D1"/>
    <w:rsid w:val="00710F75"/>
    <w:rsid w:val="007117FF"/>
    <w:rsid w:val="00712927"/>
    <w:rsid w:val="0071394C"/>
    <w:rsid w:val="00716BB4"/>
    <w:rsid w:val="00720AF7"/>
    <w:rsid w:val="00721588"/>
    <w:rsid w:val="00723F09"/>
    <w:rsid w:val="00725D4C"/>
    <w:rsid w:val="007263B8"/>
    <w:rsid w:val="00726738"/>
    <w:rsid w:val="00726C1E"/>
    <w:rsid w:val="007313DE"/>
    <w:rsid w:val="00731A31"/>
    <w:rsid w:val="007329F3"/>
    <w:rsid w:val="0073329E"/>
    <w:rsid w:val="00734A1D"/>
    <w:rsid w:val="00734DB3"/>
    <w:rsid w:val="0073672A"/>
    <w:rsid w:val="00740C9B"/>
    <w:rsid w:val="0074114F"/>
    <w:rsid w:val="00745E1D"/>
    <w:rsid w:val="00746740"/>
    <w:rsid w:val="00746EB9"/>
    <w:rsid w:val="007527E9"/>
    <w:rsid w:val="00753B9A"/>
    <w:rsid w:val="00756603"/>
    <w:rsid w:val="007634EC"/>
    <w:rsid w:val="0077282E"/>
    <w:rsid w:val="00773688"/>
    <w:rsid w:val="00774B77"/>
    <w:rsid w:val="00774F88"/>
    <w:rsid w:val="007829F1"/>
    <w:rsid w:val="00783471"/>
    <w:rsid w:val="00792179"/>
    <w:rsid w:val="00792DFC"/>
    <w:rsid w:val="0079401E"/>
    <w:rsid w:val="0079574B"/>
    <w:rsid w:val="007965E2"/>
    <w:rsid w:val="007970D7"/>
    <w:rsid w:val="007A1438"/>
    <w:rsid w:val="007A2372"/>
    <w:rsid w:val="007A32D9"/>
    <w:rsid w:val="007A4705"/>
    <w:rsid w:val="007A5414"/>
    <w:rsid w:val="007A6213"/>
    <w:rsid w:val="007B50AC"/>
    <w:rsid w:val="007B79F2"/>
    <w:rsid w:val="007C383A"/>
    <w:rsid w:val="007C461D"/>
    <w:rsid w:val="007C5899"/>
    <w:rsid w:val="007C66F1"/>
    <w:rsid w:val="007C7389"/>
    <w:rsid w:val="007D436B"/>
    <w:rsid w:val="007D5859"/>
    <w:rsid w:val="007D5C63"/>
    <w:rsid w:val="007D68D6"/>
    <w:rsid w:val="007D6CF2"/>
    <w:rsid w:val="007E0002"/>
    <w:rsid w:val="007E01C1"/>
    <w:rsid w:val="007E03C0"/>
    <w:rsid w:val="007E06A8"/>
    <w:rsid w:val="007E15F2"/>
    <w:rsid w:val="007E2DF7"/>
    <w:rsid w:val="007E655E"/>
    <w:rsid w:val="007F018E"/>
    <w:rsid w:val="007F0AE8"/>
    <w:rsid w:val="007F0F6F"/>
    <w:rsid w:val="007F1C7B"/>
    <w:rsid w:val="007F278E"/>
    <w:rsid w:val="007F3412"/>
    <w:rsid w:val="007F66A8"/>
    <w:rsid w:val="007F66CC"/>
    <w:rsid w:val="008007D3"/>
    <w:rsid w:val="00801D51"/>
    <w:rsid w:val="00802EF1"/>
    <w:rsid w:val="00806B18"/>
    <w:rsid w:val="00807154"/>
    <w:rsid w:val="00807B0E"/>
    <w:rsid w:val="008116E4"/>
    <w:rsid w:val="00812EA9"/>
    <w:rsid w:val="00812F2C"/>
    <w:rsid w:val="008136BB"/>
    <w:rsid w:val="00813D23"/>
    <w:rsid w:val="00815125"/>
    <w:rsid w:val="00815F07"/>
    <w:rsid w:val="00817960"/>
    <w:rsid w:val="00820F1F"/>
    <w:rsid w:val="00821A51"/>
    <w:rsid w:val="00822864"/>
    <w:rsid w:val="008262A0"/>
    <w:rsid w:val="008273AC"/>
    <w:rsid w:val="00830B53"/>
    <w:rsid w:val="00830DE3"/>
    <w:rsid w:val="00831102"/>
    <w:rsid w:val="008314E6"/>
    <w:rsid w:val="0083310F"/>
    <w:rsid w:val="0083443B"/>
    <w:rsid w:val="0083585A"/>
    <w:rsid w:val="0084020F"/>
    <w:rsid w:val="00840973"/>
    <w:rsid w:val="00843F10"/>
    <w:rsid w:val="008448E6"/>
    <w:rsid w:val="008464BD"/>
    <w:rsid w:val="00852CAE"/>
    <w:rsid w:val="00852D7E"/>
    <w:rsid w:val="00854383"/>
    <w:rsid w:val="00854413"/>
    <w:rsid w:val="00860102"/>
    <w:rsid w:val="008601FF"/>
    <w:rsid w:val="008617E0"/>
    <w:rsid w:val="00862CE2"/>
    <w:rsid w:val="00863725"/>
    <w:rsid w:val="00863B6D"/>
    <w:rsid w:val="008656A2"/>
    <w:rsid w:val="00867C46"/>
    <w:rsid w:val="00870A2A"/>
    <w:rsid w:val="00871C4C"/>
    <w:rsid w:val="008725E0"/>
    <w:rsid w:val="00875159"/>
    <w:rsid w:val="00875395"/>
    <w:rsid w:val="00876D15"/>
    <w:rsid w:val="008804FD"/>
    <w:rsid w:val="008805A9"/>
    <w:rsid w:val="008819B2"/>
    <w:rsid w:val="008823DC"/>
    <w:rsid w:val="008831A0"/>
    <w:rsid w:val="0088485F"/>
    <w:rsid w:val="008859DF"/>
    <w:rsid w:val="00894F7F"/>
    <w:rsid w:val="00897E41"/>
    <w:rsid w:val="008A0096"/>
    <w:rsid w:val="008A0317"/>
    <w:rsid w:val="008A2E1D"/>
    <w:rsid w:val="008A31A8"/>
    <w:rsid w:val="008A3307"/>
    <w:rsid w:val="008A355D"/>
    <w:rsid w:val="008A52BA"/>
    <w:rsid w:val="008A5824"/>
    <w:rsid w:val="008A6143"/>
    <w:rsid w:val="008A66E9"/>
    <w:rsid w:val="008A687D"/>
    <w:rsid w:val="008A7321"/>
    <w:rsid w:val="008B29B3"/>
    <w:rsid w:val="008B5176"/>
    <w:rsid w:val="008B5B47"/>
    <w:rsid w:val="008B6258"/>
    <w:rsid w:val="008B73E5"/>
    <w:rsid w:val="008C094B"/>
    <w:rsid w:val="008C20B1"/>
    <w:rsid w:val="008C21A2"/>
    <w:rsid w:val="008C26F2"/>
    <w:rsid w:val="008C3412"/>
    <w:rsid w:val="008C51B0"/>
    <w:rsid w:val="008C6AE3"/>
    <w:rsid w:val="008D0CC5"/>
    <w:rsid w:val="008D12F7"/>
    <w:rsid w:val="008D1C76"/>
    <w:rsid w:val="008D1D0C"/>
    <w:rsid w:val="008D1E11"/>
    <w:rsid w:val="008D2679"/>
    <w:rsid w:val="008D3D72"/>
    <w:rsid w:val="008D66A2"/>
    <w:rsid w:val="008E48DF"/>
    <w:rsid w:val="008E4C37"/>
    <w:rsid w:val="008E5403"/>
    <w:rsid w:val="008E5559"/>
    <w:rsid w:val="008E57D0"/>
    <w:rsid w:val="008E5C1C"/>
    <w:rsid w:val="008E6EDC"/>
    <w:rsid w:val="008E70E1"/>
    <w:rsid w:val="008E7AA3"/>
    <w:rsid w:val="008F0B9C"/>
    <w:rsid w:val="008F6E59"/>
    <w:rsid w:val="0090347A"/>
    <w:rsid w:val="00905435"/>
    <w:rsid w:val="00906921"/>
    <w:rsid w:val="009069DC"/>
    <w:rsid w:val="009107C3"/>
    <w:rsid w:val="0091127B"/>
    <w:rsid w:val="009113EA"/>
    <w:rsid w:val="009127D7"/>
    <w:rsid w:val="00912E34"/>
    <w:rsid w:val="009139BA"/>
    <w:rsid w:val="009163C7"/>
    <w:rsid w:val="009164EC"/>
    <w:rsid w:val="00916A27"/>
    <w:rsid w:val="009175D4"/>
    <w:rsid w:val="00920143"/>
    <w:rsid w:val="0092035A"/>
    <w:rsid w:val="00920A03"/>
    <w:rsid w:val="00922938"/>
    <w:rsid w:val="00924796"/>
    <w:rsid w:val="00925290"/>
    <w:rsid w:val="00925FAB"/>
    <w:rsid w:val="00926007"/>
    <w:rsid w:val="00926DC0"/>
    <w:rsid w:val="00927761"/>
    <w:rsid w:val="00927E7D"/>
    <w:rsid w:val="009301F8"/>
    <w:rsid w:val="009311D9"/>
    <w:rsid w:val="00932F59"/>
    <w:rsid w:val="009332E7"/>
    <w:rsid w:val="009356C4"/>
    <w:rsid w:val="00935B56"/>
    <w:rsid w:val="00940B6E"/>
    <w:rsid w:val="00941F6D"/>
    <w:rsid w:val="00943746"/>
    <w:rsid w:val="00943F66"/>
    <w:rsid w:val="00946510"/>
    <w:rsid w:val="00946B2F"/>
    <w:rsid w:val="00952489"/>
    <w:rsid w:val="00952A51"/>
    <w:rsid w:val="00954357"/>
    <w:rsid w:val="009549B1"/>
    <w:rsid w:val="00955990"/>
    <w:rsid w:val="0095624A"/>
    <w:rsid w:val="0096162A"/>
    <w:rsid w:val="00962133"/>
    <w:rsid w:val="009638C1"/>
    <w:rsid w:val="00970176"/>
    <w:rsid w:val="009706F3"/>
    <w:rsid w:val="00973885"/>
    <w:rsid w:val="00977990"/>
    <w:rsid w:val="00980792"/>
    <w:rsid w:val="00980F5B"/>
    <w:rsid w:val="0098231F"/>
    <w:rsid w:val="00982F50"/>
    <w:rsid w:val="00985CAF"/>
    <w:rsid w:val="00985CB8"/>
    <w:rsid w:val="00985F0A"/>
    <w:rsid w:val="009860AA"/>
    <w:rsid w:val="009860E2"/>
    <w:rsid w:val="00986F99"/>
    <w:rsid w:val="00987349"/>
    <w:rsid w:val="00990543"/>
    <w:rsid w:val="00990B8D"/>
    <w:rsid w:val="00990BAA"/>
    <w:rsid w:val="00991343"/>
    <w:rsid w:val="00991930"/>
    <w:rsid w:val="00992A74"/>
    <w:rsid w:val="00992F84"/>
    <w:rsid w:val="00993C44"/>
    <w:rsid w:val="00996743"/>
    <w:rsid w:val="00996ED8"/>
    <w:rsid w:val="009A1AFC"/>
    <w:rsid w:val="009A226F"/>
    <w:rsid w:val="009A3333"/>
    <w:rsid w:val="009A6024"/>
    <w:rsid w:val="009A6A7D"/>
    <w:rsid w:val="009B3670"/>
    <w:rsid w:val="009B6D83"/>
    <w:rsid w:val="009C02ED"/>
    <w:rsid w:val="009C13C2"/>
    <w:rsid w:val="009C2AFB"/>
    <w:rsid w:val="009C2C3E"/>
    <w:rsid w:val="009C394E"/>
    <w:rsid w:val="009C45DB"/>
    <w:rsid w:val="009C4A59"/>
    <w:rsid w:val="009C523C"/>
    <w:rsid w:val="009C5327"/>
    <w:rsid w:val="009D01AB"/>
    <w:rsid w:val="009D21AE"/>
    <w:rsid w:val="009D31DF"/>
    <w:rsid w:val="009D62AA"/>
    <w:rsid w:val="009D7448"/>
    <w:rsid w:val="009D7780"/>
    <w:rsid w:val="009E076A"/>
    <w:rsid w:val="009E1EBB"/>
    <w:rsid w:val="009E1F00"/>
    <w:rsid w:val="009E2079"/>
    <w:rsid w:val="009E2E83"/>
    <w:rsid w:val="009E3F6B"/>
    <w:rsid w:val="009E4CAD"/>
    <w:rsid w:val="009E52C2"/>
    <w:rsid w:val="009E65F1"/>
    <w:rsid w:val="009E7031"/>
    <w:rsid w:val="009E7123"/>
    <w:rsid w:val="009F3908"/>
    <w:rsid w:val="009F390A"/>
    <w:rsid w:val="00A00871"/>
    <w:rsid w:val="00A01A0C"/>
    <w:rsid w:val="00A01E2D"/>
    <w:rsid w:val="00A03034"/>
    <w:rsid w:val="00A05899"/>
    <w:rsid w:val="00A11A8B"/>
    <w:rsid w:val="00A11D27"/>
    <w:rsid w:val="00A1216B"/>
    <w:rsid w:val="00A12CBB"/>
    <w:rsid w:val="00A14CE7"/>
    <w:rsid w:val="00A15491"/>
    <w:rsid w:val="00A15A4F"/>
    <w:rsid w:val="00A1622F"/>
    <w:rsid w:val="00A202D3"/>
    <w:rsid w:val="00A20339"/>
    <w:rsid w:val="00A20FCC"/>
    <w:rsid w:val="00A2174F"/>
    <w:rsid w:val="00A21AA8"/>
    <w:rsid w:val="00A22665"/>
    <w:rsid w:val="00A23F28"/>
    <w:rsid w:val="00A25773"/>
    <w:rsid w:val="00A26D32"/>
    <w:rsid w:val="00A2759F"/>
    <w:rsid w:val="00A31C4A"/>
    <w:rsid w:val="00A322FA"/>
    <w:rsid w:val="00A3539B"/>
    <w:rsid w:val="00A35F82"/>
    <w:rsid w:val="00A406CF"/>
    <w:rsid w:val="00A41196"/>
    <w:rsid w:val="00A426E6"/>
    <w:rsid w:val="00A42BF4"/>
    <w:rsid w:val="00A43BE5"/>
    <w:rsid w:val="00A45362"/>
    <w:rsid w:val="00A45ADA"/>
    <w:rsid w:val="00A47AA9"/>
    <w:rsid w:val="00A502CC"/>
    <w:rsid w:val="00A50E84"/>
    <w:rsid w:val="00A53488"/>
    <w:rsid w:val="00A542CB"/>
    <w:rsid w:val="00A54BCF"/>
    <w:rsid w:val="00A55A51"/>
    <w:rsid w:val="00A55BF6"/>
    <w:rsid w:val="00A55D40"/>
    <w:rsid w:val="00A560B3"/>
    <w:rsid w:val="00A5629C"/>
    <w:rsid w:val="00A60CF1"/>
    <w:rsid w:val="00A64EB9"/>
    <w:rsid w:val="00A65F7C"/>
    <w:rsid w:val="00A673F8"/>
    <w:rsid w:val="00A67556"/>
    <w:rsid w:val="00A70C76"/>
    <w:rsid w:val="00A71054"/>
    <w:rsid w:val="00A7138A"/>
    <w:rsid w:val="00A727F6"/>
    <w:rsid w:val="00A74CEB"/>
    <w:rsid w:val="00A75462"/>
    <w:rsid w:val="00A7654A"/>
    <w:rsid w:val="00A766FC"/>
    <w:rsid w:val="00A80C9C"/>
    <w:rsid w:val="00A81801"/>
    <w:rsid w:val="00A82DB3"/>
    <w:rsid w:val="00A83121"/>
    <w:rsid w:val="00A8404D"/>
    <w:rsid w:val="00A86AF8"/>
    <w:rsid w:val="00A86F77"/>
    <w:rsid w:val="00A908AE"/>
    <w:rsid w:val="00A91204"/>
    <w:rsid w:val="00A925C7"/>
    <w:rsid w:val="00A97C4F"/>
    <w:rsid w:val="00A97F94"/>
    <w:rsid w:val="00AA035B"/>
    <w:rsid w:val="00AA2512"/>
    <w:rsid w:val="00AA31DF"/>
    <w:rsid w:val="00AA4504"/>
    <w:rsid w:val="00AA4A76"/>
    <w:rsid w:val="00AA6E6F"/>
    <w:rsid w:val="00AA6F93"/>
    <w:rsid w:val="00AB0037"/>
    <w:rsid w:val="00AB0E88"/>
    <w:rsid w:val="00AB14A1"/>
    <w:rsid w:val="00AB26E0"/>
    <w:rsid w:val="00AB3C86"/>
    <w:rsid w:val="00AB54C6"/>
    <w:rsid w:val="00AC12B8"/>
    <w:rsid w:val="00AC38DC"/>
    <w:rsid w:val="00AC3B5B"/>
    <w:rsid w:val="00AC3DF8"/>
    <w:rsid w:val="00AC55CB"/>
    <w:rsid w:val="00AC5645"/>
    <w:rsid w:val="00AC7568"/>
    <w:rsid w:val="00AC7A65"/>
    <w:rsid w:val="00AD0BA1"/>
    <w:rsid w:val="00AD2102"/>
    <w:rsid w:val="00AD253A"/>
    <w:rsid w:val="00AD37E2"/>
    <w:rsid w:val="00AD4AC6"/>
    <w:rsid w:val="00AD6E1A"/>
    <w:rsid w:val="00AD7CBE"/>
    <w:rsid w:val="00AE01E6"/>
    <w:rsid w:val="00AE3173"/>
    <w:rsid w:val="00AE3FE3"/>
    <w:rsid w:val="00AE510C"/>
    <w:rsid w:val="00AE5BC5"/>
    <w:rsid w:val="00AE7617"/>
    <w:rsid w:val="00AF0050"/>
    <w:rsid w:val="00AF03F5"/>
    <w:rsid w:val="00AF08AC"/>
    <w:rsid w:val="00AF0DDF"/>
    <w:rsid w:val="00AF14B1"/>
    <w:rsid w:val="00AF19AA"/>
    <w:rsid w:val="00AF1E5E"/>
    <w:rsid w:val="00AF29A9"/>
    <w:rsid w:val="00AF2E09"/>
    <w:rsid w:val="00AF4356"/>
    <w:rsid w:val="00AF52EF"/>
    <w:rsid w:val="00AF5317"/>
    <w:rsid w:val="00B014CF"/>
    <w:rsid w:val="00B017D2"/>
    <w:rsid w:val="00B01BDB"/>
    <w:rsid w:val="00B02AAF"/>
    <w:rsid w:val="00B03117"/>
    <w:rsid w:val="00B03921"/>
    <w:rsid w:val="00B06067"/>
    <w:rsid w:val="00B065CC"/>
    <w:rsid w:val="00B07D2C"/>
    <w:rsid w:val="00B107FC"/>
    <w:rsid w:val="00B11542"/>
    <w:rsid w:val="00B1156A"/>
    <w:rsid w:val="00B121C9"/>
    <w:rsid w:val="00B121F9"/>
    <w:rsid w:val="00B1431D"/>
    <w:rsid w:val="00B17295"/>
    <w:rsid w:val="00B176E9"/>
    <w:rsid w:val="00B200BA"/>
    <w:rsid w:val="00B20B97"/>
    <w:rsid w:val="00B2125D"/>
    <w:rsid w:val="00B22C3D"/>
    <w:rsid w:val="00B23659"/>
    <w:rsid w:val="00B24135"/>
    <w:rsid w:val="00B24BF0"/>
    <w:rsid w:val="00B25A12"/>
    <w:rsid w:val="00B26DFC"/>
    <w:rsid w:val="00B26E35"/>
    <w:rsid w:val="00B27FA4"/>
    <w:rsid w:val="00B30DE3"/>
    <w:rsid w:val="00B332AB"/>
    <w:rsid w:val="00B33435"/>
    <w:rsid w:val="00B33514"/>
    <w:rsid w:val="00B345ED"/>
    <w:rsid w:val="00B35322"/>
    <w:rsid w:val="00B35387"/>
    <w:rsid w:val="00B35467"/>
    <w:rsid w:val="00B4011D"/>
    <w:rsid w:val="00B405D9"/>
    <w:rsid w:val="00B40742"/>
    <w:rsid w:val="00B40CFD"/>
    <w:rsid w:val="00B42B1C"/>
    <w:rsid w:val="00B4438C"/>
    <w:rsid w:val="00B46C16"/>
    <w:rsid w:val="00B4747B"/>
    <w:rsid w:val="00B47B74"/>
    <w:rsid w:val="00B47D95"/>
    <w:rsid w:val="00B5030B"/>
    <w:rsid w:val="00B51028"/>
    <w:rsid w:val="00B51734"/>
    <w:rsid w:val="00B51E70"/>
    <w:rsid w:val="00B51FC8"/>
    <w:rsid w:val="00B530A1"/>
    <w:rsid w:val="00B5540D"/>
    <w:rsid w:val="00B5734E"/>
    <w:rsid w:val="00B575B3"/>
    <w:rsid w:val="00B61A37"/>
    <w:rsid w:val="00B62073"/>
    <w:rsid w:val="00B62E48"/>
    <w:rsid w:val="00B65599"/>
    <w:rsid w:val="00B67F63"/>
    <w:rsid w:val="00B70D67"/>
    <w:rsid w:val="00B715BF"/>
    <w:rsid w:val="00B71ABC"/>
    <w:rsid w:val="00B74F15"/>
    <w:rsid w:val="00B76D3F"/>
    <w:rsid w:val="00B81438"/>
    <w:rsid w:val="00B82B29"/>
    <w:rsid w:val="00B82DAC"/>
    <w:rsid w:val="00B830D1"/>
    <w:rsid w:val="00B83C50"/>
    <w:rsid w:val="00B86D67"/>
    <w:rsid w:val="00B876B6"/>
    <w:rsid w:val="00B9092D"/>
    <w:rsid w:val="00B9135F"/>
    <w:rsid w:val="00B93E85"/>
    <w:rsid w:val="00B94391"/>
    <w:rsid w:val="00B94809"/>
    <w:rsid w:val="00B9564C"/>
    <w:rsid w:val="00B95C3D"/>
    <w:rsid w:val="00B95E86"/>
    <w:rsid w:val="00BA051A"/>
    <w:rsid w:val="00BA0E72"/>
    <w:rsid w:val="00BA1C8C"/>
    <w:rsid w:val="00BA3BAC"/>
    <w:rsid w:val="00BA4EE6"/>
    <w:rsid w:val="00BA5BED"/>
    <w:rsid w:val="00BA6215"/>
    <w:rsid w:val="00BA7B93"/>
    <w:rsid w:val="00BB02BF"/>
    <w:rsid w:val="00BB1FDB"/>
    <w:rsid w:val="00BB58E1"/>
    <w:rsid w:val="00BB60EA"/>
    <w:rsid w:val="00BC133C"/>
    <w:rsid w:val="00BC7E43"/>
    <w:rsid w:val="00BD0EA7"/>
    <w:rsid w:val="00BD3A75"/>
    <w:rsid w:val="00BD3CDB"/>
    <w:rsid w:val="00BD40E2"/>
    <w:rsid w:val="00BD43DA"/>
    <w:rsid w:val="00BD4555"/>
    <w:rsid w:val="00BD45AB"/>
    <w:rsid w:val="00BE02DC"/>
    <w:rsid w:val="00BE39E4"/>
    <w:rsid w:val="00BE4C1E"/>
    <w:rsid w:val="00BE527C"/>
    <w:rsid w:val="00BE5B48"/>
    <w:rsid w:val="00BE6F63"/>
    <w:rsid w:val="00BF0440"/>
    <w:rsid w:val="00BF0B4D"/>
    <w:rsid w:val="00BF6C6C"/>
    <w:rsid w:val="00C011A4"/>
    <w:rsid w:val="00C01203"/>
    <w:rsid w:val="00C0271B"/>
    <w:rsid w:val="00C03101"/>
    <w:rsid w:val="00C04934"/>
    <w:rsid w:val="00C053B7"/>
    <w:rsid w:val="00C06781"/>
    <w:rsid w:val="00C07313"/>
    <w:rsid w:val="00C07399"/>
    <w:rsid w:val="00C07594"/>
    <w:rsid w:val="00C07AE8"/>
    <w:rsid w:val="00C119C9"/>
    <w:rsid w:val="00C1324D"/>
    <w:rsid w:val="00C14FCB"/>
    <w:rsid w:val="00C16A3E"/>
    <w:rsid w:val="00C17014"/>
    <w:rsid w:val="00C17470"/>
    <w:rsid w:val="00C20489"/>
    <w:rsid w:val="00C24A43"/>
    <w:rsid w:val="00C2532F"/>
    <w:rsid w:val="00C266A5"/>
    <w:rsid w:val="00C27226"/>
    <w:rsid w:val="00C304DB"/>
    <w:rsid w:val="00C30543"/>
    <w:rsid w:val="00C34EEB"/>
    <w:rsid w:val="00C352E9"/>
    <w:rsid w:val="00C36081"/>
    <w:rsid w:val="00C40D8B"/>
    <w:rsid w:val="00C43F25"/>
    <w:rsid w:val="00C460E4"/>
    <w:rsid w:val="00C46619"/>
    <w:rsid w:val="00C46B43"/>
    <w:rsid w:val="00C4725F"/>
    <w:rsid w:val="00C47D44"/>
    <w:rsid w:val="00C47F05"/>
    <w:rsid w:val="00C50B9E"/>
    <w:rsid w:val="00C53827"/>
    <w:rsid w:val="00C53BB4"/>
    <w:rsid w:val="00C53E23"/>
    <w:rsid w:val="00C54703"/>
    <w:rsid w:val="00C60C04"/>
    <w:rsid w:val="00C6167E"/>
    <w:rsid w:val="00C61F51"/>
    <w:rsid w:val="00C626F9"/>
    <w:rsid w:val="00C62F27"/>
    <w:rsid w:val="00C649AF"/>
    <w:rsid w:val="00C667E2"/>
    <w:rsid w:val="00C67532"/>
    <w:rsid w:val="00C6758B"/>
    <w:rsid w:val="00C70981"/>
    <w:rsid w:val="00C716FF"/>
    <w:rsid w:val="00C7354C"/>
    <w:rsid w:val="00C73DE3"/>
    <w:rsid w:val="00C74902"/>
    <w:rsid w:val="00C74BF7"/>
    <w:rsid w:val="00C74FAA"/>
    <w:rsid w:val="00C75C6B"/>
    <w:rsid w:val="00C75E79"/>
    <w:rsid w:val="00C76DBE"/>
    <w:rsid w:val="00C817E8"/>
    <w:rsid w:val="00C818E8"/>
    <w:rsid w:val="00C819E9"/>
    <w:rsid w:val="00C81D87"/>
    <w:rsid w:val="00C82C8C"/>
    <w:rsid w:val="00C83769"/>
    <w:rsid w:val="00C86C3A"/>
    <w:rsid w:val="00C8787B"/>
    <w:rsid w:val="00C90F2B"/>
    <w:rsid w:val="00C91282"/>
    <w:rsid w:val="00C927A8"/>
    <w:rsid w:val="00C952D1"/>
    <w:rsid w:val="00C95739"/>
    <w:rsid w:val="00C9763D"/>
    <w:rsid w:val="00CA0858"/>
    <w:rsid w:val="00CA50E6"/>
    <w:rsid w:val="00CA602A"/>
    <w:rsid w:val="00CA6637"/>
    <w:rsid w:val="00CA6A4E"/>
    <w:rsid w:val="00CA6EE2"/>
    <w:rsid w:val="00CB1BF6"/>
    <w:rsid w:val="00CB2577"/>
    <w:rsid w:val="00CB35FB"/>
    <w:rsid w:val="00CB41E5"/>
    <w:rsid w:val="00CB422B"/>
    <w:rsid w:val="00CC288B"/>
    <w:rsid w:val="00CC47BE"/>
    <w:rsid w:val="00CC4DF3"/>
    <w:rsid w:val="00CC4F34"/>
    <w:rsid w:val="00CC5ABF"/>
    <w:rsid w:val="00CC6AC8"/>
    <w:rsid w:val="00CC6B7C"/>
    <w:rsid w:val="00CC7A46"/>
    <w:rsid w:val="00CD21D4"/>
    <w:rsid w:val="00CD2506"/>
    <w:rsid w:val="00CD29D9"/>
    <w:rsid w:val="00CD30BC"/>
    <w:rsid w:val="00CD3CDA"/>
    <w:rsid w:val="00CD447F"/>
    <w:rsid w:val="00CD5288"/>
    <w:rsid w:val="00CD5E7C"/>
    <w:rsid w:val="00CE0CEC"/>
    <w:rsid w:val="00CE2BE6"/>
    <w:rsid w:val="00CE35B4"/>
    <w:rsid w:val="00CE37F0"/>
    <w:rsid w:val="00CE4C71"/>
    <w:rsid w:val="00CE53D7"/>
    <w:rsid w:val="00CF419C"/>
    <w:rsid w:val="00D00199"/>
    <w:rsid w:val="00D00928"/>
    <w:rsid w:val="00D01C78"/>
    <w:rsid w:val="00D03A05"/>
    <w:rsid w:val="00D04021"/>
    <w:rsid w:val="00D071BB"/>
    <w:rsid w:val="00D07EE2"/>
    <w:rsid w:val="00D103B7"/>
    <w:rsid w:val="00D12EAE"/>
    <w:rsid w:val="00D1302F"/>
    <w:rsid w:val="00D13199"/>
    <w:rsid w:val="00D15063"/>
    <w:rsid w:val="00D15FD6"/>
    <w:rsid w:val="00D206C6"/>
    <w:rsid w:val="00D20C78"/>
    <w:rsid w:val="00D22524"/>
    <w:rsid w:val="00D241EA"/>
    <w:rsid w:val="00D24413"/>
    <w:rsid w:val="00D24C24"/>
    <w:rsid w:val="00D24F85"/>
    <w:rsid w:val="00D25CE6"/>
    <w:rsid w:val="00D279C5"/>
    <w:rsid w:val="00D3010C"/>
    <w:rsid w:val="00D3198B"/>
    <w:rsid w:val="00D326F1"/>
    <w:rsid w:val="00D33664"/>
    <w:rsid w:val="00D339A9"/>
    <w:rsid w:val="00D36D63"/>
    <w:rsid w:val="00D37A3E"/>
    <w:rsid w:val="00D37B9D"/>
    <w:rsid w:val="00D37F82"/>
    <w:rsid w:val="00D401A9"/>
    <w:rsid w:val="00D42B79"/>
    <w:rsid w:val="00D42E44"/>
    <w:rsid w:val="00D42E9D"/>
    <w:rsid w:val="00D50B9C"/>
    <w:rsid w:val="00D523E3"/>
    <w:rsid w:val="00D5296F"/>
    <w:rsid w:val="00D534AF"/>
    <w:rsid w:val="00D536E7"/>
    <w:rsid w:val="00D53D89"/>
    <w:rsid w:val="00D53F04"/>
    <w:rsid w:val="00D54021"/>
    <w:rsid w:val="00D5634B"/>
    <w:rsid w:val="00D56CC0"/>
    <w:rsid w:val="00D571E8"/>
    <w:rsid w:val="00D607C9"/>
    <w:rsid w:val="00D61E44"/>
    <w:rsid w:val="00D62721"/>
    <w:rsid w:val="00D63995"/>
    <w:rsid w:val="00D63BA5"/>
    <w:rsid w:val="00D63C79"/>
    <w:rsid w:val="00D655FE"/>
    <w:rsid w:val="00D659BE"/>
    <w:rsid w:val="00D677B8"/>
    <w:rsid w:val="00D73502"/>
    <w:rsid w:val="00D73D26"/>
    <w:rsid w:val="00D80545"/>
    <w:rsid w:val="00D810B5"/>
    <w:rsid w:val="00D8151C"/>
    <w:rsid w:val="00D8287B"/>
    <w:rsid w:val="00D82DE5"/>
    <w:rsid w:val="00D834CA"/>
    <w:rsid w:val="00D87125"/>
    <w:rsid w:val="00D871FA"/>
    <w:rsid w:val="00D9079B"/>
    <w:rsid w:val="00D920B2"/>
    <w:rsid w:val="00D947E5"/>
    <w:rsid w:val="00D94E02"/>
    <w:rsid w:val="00D957AC"/>
    <w:rsid w:val="00D95A94"/>
    <w:rsid w:val="00D970B2"/>
    <w:rsid w:val="00D97E55"/>
    <w:rsid w:val="00DA1446"/>
    <w:rsid w:val="00DA245C"/>
    <w:rsid w:val="00DA2C9D"/>
    <w:rsid w:val="00DA3715"/>
    <w:rsid w:val="00DA3DFD"/>
    <w:rsid w:val="00DA40B2"/>
    <w:rsid w:val="00DA710C"/>
    <w:rsid w:val="00DA711B"/>
    <w:rsid w:val="00DB1FAA"/>
    <w:rsid w:val="00DB28CE"/>
    <w:rsid w:val="00DB2900"/>
    <w:rsid w:val="00DB3017"/>
    <w:rsid w:val="00DB3D09"/>
    <w:rsid w:val="00DB3F68"/>
    <w:rsid w:val="00DB51D8"/>
    <w:rsid w:val="00DB7159"/>
    <w:rsid w:val="00DB7566"/>
    <w:rsid w:val="00DB7E49"/>
    <w:rsid w:val="00DC0D4B"/>
    <w:rsid w:val="00DC18CA"/>
    <w:rsid w:val="00DC1EF2"/>
    <w:rsid w:val="00DC2CC1"/>
    <w:rsid w:val="00DC4D25"/>
    <w:rsid w:val="00DC6C77"/>
    <w:rsid w:val="00DD10B4"/>
    <w:rsid w:val="00DD1738"/>
    <w:rsid w:val="00DD288C"/>
    <w:rsid w:val="00DD39E7"/>
    <w:rsid w:val="00DD40FB"/>
    <w:rsid w:val="00DD6F3E"/>
    <w:rsid w:val="00DD7623"/>
    <w:rsid w:val="00DE1569"/>
    <w:rsid w:val="00DE37EF"/>
    <w:rsid w:val="00DF140E"/>
    <w:rsid w:val="00DF22A2"/>
    <w:rsid w:val="00DF27FB"/>
    <w:rsid w:val="00DF6D57"/>
    <w:rsid w:val="00E00B1A"/>
    <w:rsid w:val="00E06AAD"/>
    <w:rsid w:val="00E0770C"/>
    <w:rsid w:val="00E12448"/>
    <w:rsid w:val="00E14B87"/>
    <w:rsid w:val="00E14BF5"/>
    <w:rsid w:val="00E1696B"/>
    <w:rsid w:val="00E1736E"/>
    <w:rsid w:val="00E17971"/>
    <w:rsid w:val="00E2189D"/>
    <w:rsid w:val="00E234FF"/>
    <w:rsid w:val="00E27D9B"/>
    <w:rsid w:val="00E302AB"/>
    <w:rsid w:val="00E3043D"/>
    <w:rsid w:val="00E30507"/>
    <w:rsid w:val="00E30A84"/>
    <w:rsid w:val="00E312BF"/>
    <w:rsid w:val="00E31CDA"/>
    <w:rsid w:val="00E33757"/>
    <w:rsid w:val="00E365E7"/>
    <w:rsid w:val="00E36D5A"/>
    <w:rsid w:val="00E413C4"/>
    <w:rsid w:val="00E416F6"/>
    <w:rsid w:val="00E43061"/>
    <w:rsid w:val="00E43C82"/>
    <w:rsid w:val="00E441CC"/>
    <w:rsid w:val="00E4697E"/>
    <w:rsid w:val="00E51AB0"/>
    <w:rsid w:val="00E54920"/>
    <w:rsid w:val="00E56DFF"/>
    <w:rsid w:val="00E56F53"/>
    <w:rsid w:val="00E60570"/>
    <w:rsid w:val="00E60B40"/>
    <w:rsid w:val="00E610FB"/>
    <w:rsid w:val="00E62CEF"/>
    <w:rsid w:val="00E63681"/>
    <w:rsid w:val="00E63A03"/>
    <w:rsid w:val="00E63B1F"/>
    <w:rsid w:val="00E63D3D"/>
    <w:rsid w:val="00E666D2"/>
    <w:rsid w:val="00E7127E"/>
    <w:rsid w:val="00E71B1A"/>
    <w:rsid w:val="00E72545"/>
    <w:rsid w:val="00E74F6C"/>
    <w:rsid w:val="00E75861"/>
    <w:rsid w:val="00E7628F"/>
    <w:rsid w:val="00E76530"/>
    <w:rsid w:val="00E80200"/>
    <w:rsid w:val="00E80732"/>
    <w:rsid w:val="00E84DCE"/>
    <w:rsid w:val="00E85D08"/>
    <w:rsid w:val="00E86089"/>
    <w:rsid w:val="00E87E16"/>
    <w:rsid w:val="00E87F51"/>
    <w:rsid w:val="00E904B5"/>
    <w:rsid w:val="00E92408"/>
    <w:rsid w:val="00E92780"/>
    <w:rsid w:val="00E9364C"/>
    <w:rsid w:val="00E937E5"/>
    <w:rsid w:val="00E93C1E"/>
    <w:rsid w:val="00E94BF0"/>
    <w:rsid w:val="00E94DF7"/>
    <w:rsid w:val="00E94FC3"/>
    <w:rsid w:val="00EA0ED5"/>
    <w:rsid w:val="00EA4613"/>
    <w:rsid w:val="00EA6943"/>
    <w:rsid w:val="00EB03EE"/>
    <w:rsid w:val="00EB046B"/>
    <w:rsid w:val="00EB09B6"/>
    <w:rsid w:val="00EB4404"/>
    <w:rsid w:val="00EB485B"/>
    <w:rsid w:val="00EB539C"/>
    <w:rsid w:val="00EB5828"/>
    <w:rsid w:val="00EB589A"/>
    <w:rsid w:val="00EB5C8A"/>
    <w:rsid w:val="00EB72EB"/>
    <w:rsid w:val="00EB7D59"/>
    <w:rsid w:val="00EC18AE"/>
    <w:rsid w:val="00EC310D"/>
    <w:rsid w:val="00EC39F5"/>
    <w:rsid w:val="00EC3AD2"/>
    <w:rsid w:val="00EC3DE0"/>
    <w:rsid w:val="00EC4DF0"/>
    <w:rsid w:val="00EC5449"/>
    <w:rsid w:val="00EC7588"/>
    <w:rsid w:val="00EC7C53"/>
    <w:rsid w:val="00ED70FC"/>
    <w:rsid w:val="00EE322C"/>
    <w:rsid w:val="00EE4EE2"/>
    <w:rsid w:val="00EF0A8A"/>
    <w:rsid w:val="00EF0E03"/>
    <w:rsid w:val="00EF167C"/>
    <w:rsid w:val="00EF28E9"/>
    <w:rsid w:val="00EF72B6"/>
    <w:rsid w:val="00EF7CD1"/>
    <w:rsid w:val="00F0235C"/>
    <w:rsid w:val="00F044CF"/>
    <w:rsid w:val="00F048EE"/>
    <w:rsid w:val="00F06C9B"/>
    <w:rsid w:val="00F11449"/>
    <w:rsid w:val="00F118CB"/>
    <w:rsid w:val="00F1346E"/>
    <w:rsid w:val="00F13926"/>
    <w:rsid w:val="00F154E6"/>
    <w:rsid w:val="00F17EE1"/>
    <w:rsid w:val="00F2138E"/>
    <w:rsid w:val="00F21CD4"/>
    <w:rsid w:val="00F240F9"/>
    <w:rsid w:val="00F25BDB"/>
    <w:rsid w:val="00F27D14"/>
    <w:rsid w:val="00F31917"/>
    <w:rsid w:val="00F33DD0"/>
    <w:rsid w:val="00F36052"/>
    <w:rsid w:val="00F36DEF"/>
    <w:rsid w:val="00F41381"/>
    <w:rsid w:val="00F47974"/>
    <w:rsid w:val="00F47C28"/>
    <w:rsid w:val="00F50834"/>
    <w:rsid w:val="00F5084A"/>
    <w:rsid w:val="00F52C38"/>
    <w:rsid w:val="00F52E02"/>
    <w:rsid w:val="00F53F76"/>
    <w:rsid w:val="00F542DB"/>
    <w:rsid w:val="00F6000C"/>
    <w:rsid w:val="00F6282A"/>
    <w:rsid w:val="00F6288C"/>
    <w:rsid w:val="00F64C60"/>
    <w:rsid w:val="00F66014"/>
    <w:rsid w:val="00F67DA4"/>
    <w:rsid w:val="00F744C2"/>
    <w:rsid w:val="00F80590"/>
    <w:rsid w:val="00F80698"/>
    <w:rsid w:val="00F820E3"/>
    <w:rsid w:val="00F831AD"/>
    <w:rsid w:val="00F83585"/>
    <w:rsid w:val="00F83BD9"/>
    <w:rsid w:val="00F84F87"/>
    <w:rsid w:val="00F86DDD"/>
    <w:rsid w:val="00F9020C"/>
    <w:rsid w:val="00F9087D"/>
    <w:rsid w:val="00F91494"/>
    <w:rsid w:val="00F92A57"/>
    <w:rsid w:val="00F931F2"/>
    <w:rsid w:val="00F9476A"/>
    <w:rsid w:val="00F94F55"/>
    <w:rsid w:val="00F954F2"/>
    <w:rsid w:val="00F95598"/>
    <w:rsid w:val="00F95DE2"/>
    <w:rsid w:val="00F960C7"/>
    <w:rsid w:val="00FA068D"/>
    <w:rsid w:val="00FA0CE1"/>
    <w:rsid w:val="00FA2AE3"/>
    <w:rsid w:val="00FA5DB5"/>
    <w:rsid w:val="00FB19A8"/>
    <w:rsid w:val="00FB1E7C"/>
    <w:rsid w:val="00FB227A"/>
    <w:rsid w:val="00FB4670"/>
    <w:rsid w:val="00FB6716"/>
    <w:rsid w:val="00FB7D0E"/>
    <w:rsid w:val="00FC003C"/>
    <w:rsid w:val="00FC1775"/>
    <w:rsid w:val="00FC25C4"/>
    <w:rsid w:val="00FC2840"/>
    <w:rsid w:val="00FC3C35"/>
    <w:rsid w:val="00FC3D88"/>
    <w:rsid w:val="00FC45D4"/>
    <w:rsid w:val="00FC59E5"/>
    <w:rsid w:val="00FC6041"/>
    <w:rsid w:val="00FC78BC"/>
    <w:rsid w:val="00FD0E61"/>
    <w:rsid w:val="00FD1D52"/>
    <w:rsid w:val="00FD4D0B"/>
    <w:rsid w:val="00FD535F"/>
    <w:rsid w:val="00FD69D9"/>
    <w:rsid w:val="00FE0BC2"/>
    <w:rsid w:val="00FF0CDB"/>
    <w:rsid w:val="00FF2680"/>
    <w:rsid w:val="00FF3B69"/>
    <w:rsid w:val="00FF3D0F"/>
    <w:rsid w:val="00FF3E86"/>
    <w:rsid w:val="00FF5911"/>
    <w:rsid w:val="00FF5C60"/>
    <w:rsid w:val="00FF619F"/>
    <w:rsid w:val="00FF6A81"/>
    <w:rsid w:val="00FF7C34"/>
    <w:rsid w:val="011A7374"/>
    <w:rsid w:val="012D74D9"/>
    <w:rsid w:val="013947DC"/>
    <w:rsid w:val="01577C6B"/>
    <w:rsid w:val="01A3526B"/>
    <w:rsid w:val="01DF1F0F"/>
    <w:rsid w:val="01E33CB0"/>
    <w:rsid w:val="020045C6"/>
    <w:rsid w:val="02057A85"/>
    <w:rsid w:val="02080859"/>
    <w:rsid w:val="02165E52"/>
    <w:rsid w:val="021A5F8B"/>
    <w:rsid w:val="022A5F2A"/>
    <w:rsid w:val="023D5BDE"/>
    <w:rsid w:val="024678AB"/>
    <w:rsid w:val="02724A7B"/>
    <w:rsid w:val="02842E1C"/>
    <w:rsid w:val="02930C19"/>
    <w:rsid w:val="02C27B79"/>
    <w:rsid w:val="02D4351E"/>
    <w:rsid w:val="02E632B0"/>
    <w:rsid w:val="02E93551"/>
    <w:rsid w:val="03060E85"/>
    <w:rsid w:val="03103279"/>
    <w:rsid w:val="0314548D"/>
    <w:rsid w:val="03157877"/>
    <w:rsid w:val="031E3AC7"/>
    <w:rsid w:val="04233246"/>
    <w:rsid w:val="04295C89"/>
    <w:rsid w:val="0437210F"/>
    <w:rsid w:val="04397090"/>
    <w:rsid w:val="044F4F97"/>
    <w:rsid w:val="04724680"/>
    <w:rsid w:val="04834157"/>
    <w:rsid w:val="04A91D72"/>
    <w:rsid w:val="0500178B"/>
    <w:rsid w:val="050866AD"/>
    <w:rsid w:val="051042D8"/>
    <w:rsid w:val="0572451C"/>
    <w:rsid w:val="058A261B"/>
    <w:rsid w:val="059C54D3"/>
    <w:rsid w:val="05AB503A"/>
    <w:rsid w:val="05BC2F3A"/>
    <w:rsid w:val="05C65C83"/>
    <w:rsid w:val="05CB5E54"/>
    <w:rsid w:val="05DF23C6"/>
    <w:rsid w:val="05DF64C6"/>
    <w:rsid w:val="05F6049A"/>
    <w:rsid w:val="05FF226F"/>
    <w:rsid w:val="0677027C"/>
    <w:rsid w:val="06876E42"/>
    <w:rsid w:val="06C85264"/>
    <w:rsid w:val="06E06BDA"/>
    <w:rsid w:val="06F80A29"/>
    <w:rsid w:val="071A1F15"/>
    <w:rsid w:val="072416AF"/>
    <w:rsid w:val="072A05E3"/>
    <w:rsid w:val="0737071E"/>
    <w:rsid w:val="07952470"/>
    <w:rsid w:val="07AF3A65"/>
    <w:rsid w:val="07BE3AB0"/>
    <w:rsid w:val="07D73B37"/>
    <w:rsid w:val="07F42641"/>
    <w:rsid w:val="07F73B7B"/>
    <w:rsid w:val="081D4987"/>
    <w:rsid w:val="08423092"/>
    <w:rsid w:val="08920C00"/>
    <w:rsid w:val="08926DA7"/>
    <w:rsid w:val="08A65503"/>
    <w:rsid w:val="08B0428E"/>
    <w:rsid w:val="08B271D1"/>
    <w:rsid w:val="08BB7C9C"/>
    <w:rsid w:val="08CE2AA6"/>
    <w:rsid w:val="08E624A4"/>
    <w:rsid w:val="08ED5BCD"/>
    <w:rsid w:val="090A13B9"/>
    <w:rsid w:val="092C3874"/>
    <w:rsid w:val="095428AF"/>
    <w:rsid w:val="095558D4"/>
    <w:rsid w:val="095F58FB"/>
    <w:rsid w:val="09697EAE"/>
    <w:rsid w:val="096D37F8"/>
    <w:rsid w:val="097301D0"/>
    <w:rsid w:val="09A10481"/>
    <w:rsid w:val="09AF354B"/>
    <w:rsid w:val="09B20736"/>
    <w:rsid w:val="09CF36C4"/>
    <w:rsid w:val="09F16CF0"/>
    <w:rsid w:val="0A5D212A"/>
    <w:rsid w:val="0A6C6EC5"/>
    <w:rsid w:val="0AAA01D9"/>
    <w:rsid w:val="0ADE76B0"/>
    <w:rsid w:val="0AE84EAC"/>
    <w:rsid w:val="0B1B6F73"/>
    <w:rsid w:val="0B26227C"/>
    <w:rsid w:val="0B285DD6"/>
    <w:rsid w:val="0B2C7967"/>
    <w:rsid w:val="0B2E07FE"/>
    <w:rsid w:val="0B850FF3"/>
    <w:rsid w:val="0B8A0DA9"/>
    <w:rsid w:val="0BAC248A"/>
    <w:rsid w:val="0BDE35B9"/>
    <w:rsid w:val="0BEF7681"/>
    <w:rsid w:val="0C447877"/>
    <w:rsid w:val="0C7A2392"/>
    <w:rsid w:val="0C7D0E79"/>
    <w:rsid w:val="0C8547D1"/>
    <w:rsid w:val="0C942D04"/>
    <w:rsid w:val="0CE3580D"/>
    <w:rsid w:val="0CE90F91"/>
    <w:rsid w:val="0CEE084D"/>
    <w:rsid w:val="0D1446EB"/>
    <w:rsid w:val="0D1C2C02"/>
    <w:rsid w:val="0D3129C5"/>
    <w:rsid w:val="0D81099B"/>
    <w:rsid w:val="0D92773A"/>
    <w:rsid w:val="0DB97D6F"/>
    <w:rsid w:val="0DE701AA"/>
    <w:rsid w:val="0E030794"/>
    <w:rsid w:val="0E0A225B"/>
    <w:rsid w:val="0E1279D9"/>
    <w:rsid w:val="0E382D5D"/>
    <w:rsid w:val="0E4B4ED5"/>
    <w:rsid w:val="0E614FE9"/>
    <w:rsid w:val="0EA316AC"/>
    <w:rsid w:val="0EB47F11"/>
    <w:rsid w:val="0EBA15B4"/>
    <w:rsid w:val="0ED838A6"/>
    <w:rsid w:val="0EDA452E"/>
    <w:rsid w:val="0EE00991"/>
    <w:rsid w:val="0EE4306E"/>
    <w:rsid w:val="0EEE3059"/>
    <w:rsid w:val="0F526719"/>
    <w:rsid w:val="0F7F65C8"/>
    <w:rsid w:val="0F85310C"/>
    <w:rsid w:val="0FC67ECE"/>
    <w:rsid w:val="0FFE05FD"/>
    <w:rsid w:val="102E3789"/>
    <w:rsid w:val="106134D5"/>
    <w:rsid w:val="10821AA3"/>
    <w:rsid w:val="109D61A1"/>
    <w:rsid w:val="10C01DC3"/>
    <w:rsid w:val="10ED391D"/>
    <w:rsid w:val="110859C7"/>
    <w:rsid w:val="112B50AA"/>
    <w:rsid w:val="11301385"/>
    <w:rsid w:val="11737734"/>
    <w:rsid w:val="118E6427"/>
    <w:rsid w:val="119C28B1"/>
    <w:rsid w:val="11DB20CB"/>
    <w:rsid w:val="11FC76A5"/>
    <w:rsid w:val="1212312A"/>
    <w:rsid w:val="1219753D"/>
    <w:rsid w:val="122852B8"/>
    <w:rsid w:val="122A57C1"/>
    <w:rsid w:val="1260180F"/>
    <w:rsid w:val="1269645D"/>
    <w:rsid w:val="126971B4"/>
    <w:rsid w:val="12757BB5"/>
    <w:rsid w:val="12D46B5B"/>
    <w:rsid w:val="13112F12"/>
    <w:rsid w:val="131522D0"/>
    <w:rsid w:val="131A4E44"/>
    <w:rsid w:val="131C2F02"/>
    <w:rsid w:val="136A1942"/>
    <w:rsid w:val="13B30999"/>
    <w:rsid w:val="13E272BC"/>
    <w:rsid w:val="13EB04DC"/>
    <w:rsid w:val="13F67289"/>
    <w:rsid w:val="13FB0264"/>
    <w:rsid w:val="14075591"/>
    <w:rsid w:val="141D7236"/>
    <w:rsid w:val="141F11D1"/>
    <w:rsid w:val="144357CD"/>
    <w:rsid w:val="14687D3F"/>
    <w:rsid w:val="147758BC"/>
    <w:rsid w:val="148C3AA6"/>
    <w:rsid w:val="1490176D"/>
    <w:rsid w:val="14B2762B"/>
    <w:rsid w:val="14BE1F1B"/>
    <w:rsid w:val="14E741E6"/>
    <w:rsid w:val="1510190C"/>
    <w:rsid w:val="1529221F"/>
    <w:rsid w:val="15711132"/>
    <w:rsid w:val="158626B6"/>
    <w:rsid w:val="15891C5B"/>
    <w:rsid w:val="15C06FF0"/>
    <w:rsid w:val="15C17AA8"/>
    <w:rsid w:val="15C50AEE"/>
    <w:rsid w:val="15CB36BB"/>
    <w:rsid w:val="15DD0AF1"/>
    <w:rsid w:val="15F64043"/>
    <w:rsid w:val="163B656C"/>
    <w:rsid w:val="16464EC1"/>
    <w:rsid w:val="164A42D9"/>
    <w:rsid w:val="164E6621"/>
    <w:rsid w:val="165932D3"/>
    <w:rsid w:val="167C2AFC"/>
    <w:rsid w:val="167D60E9"/>
    <w:rsid w:val="1699626C"/>
    <w:rsid w:val="16AF3011"/>
    <w:rsid w:val="16BA28F2"/>
    <w:rsid w:val="16BA5DD9"/>
    <w:rsid w:val="16E02C35"/>
    <w:rsid w:val="170A489B"/>
    <w:rsid w:val="171D07C1"/>
    <w:rsid w:val="17275943"/>
    <w:rsid w:val="174A14CD"/>
    <w:rsid w:val="178967F9"/>
    <w:rsid w:val="179A7112"/>
    <w:rsid w:val="17BD60C5"/>
    <w:rsid w:val="17D5757B"/>
    <w:rsid w:val="17D92EFA"/>
    <w:rsid w:val="17E5358C"/>
    <w:rsid w:val="17E54602"/>
    <w:rsid w:val="17FD4626"/>
    <w:rsid w:val="18127763"/>
    <w:rsid w:val="183139EB"/>
    <w:rsid w:val="184B1266"/>
    <w:rsid w:val="18535606"/>
    <w:rsid w:val="18B91FB3"/>
    <w:rsid w:val="18C31207"/>
    <w:rsid w:val="18D14F38"/>
    <w:rsid w:val="18D50D83"/>
    <w:rsid w:val="191452E9"/>
    <w:rsid w:val="194C1622"/>
    <w:rsid w:val="19811733"/>
    <w:rsid w:val="19950644"/>
    <w:rsid w:val="19EB60A9"/>
    <w:rsid w:val="19EF1C32"/>
    <w:rsid w:val="1A15502B"/>
    <w:rsid w:val="1A212A93"/>
    <w:rsid w:val="1A2D2024"/>
    <w:rsid w:val="1A326CEC"/>
    <w:rsid w:val="1A466000"/>
    <w:rsid w:val="1A6A4EC9"/>
    <w:rsid w:val="1AAF7718"/>
    <w:rsid w:val="1ADE07CD"/>
    <w:rsid w:val="1AF84A94"/>
    <w:rsid w:val="1AFE356C"/>
    <w:rsid w:val="1B087FBE"/>
    <w:rsid w:val="1B113379"/>
    <w:rsid w:val="1B177EDC"/>
    <w:rsid w:val="1B1D740A"/>
    <w:rsid w:val="1B2137B6"/>
    <w:rsid w:val="1B244635"/>
    <w:rsid w:val="1B351DAA"/>
    <w:rsid w:val="1B3C006F"/>
    <w:rsid w:val="1B4C73BF"/>
    <w:rsid w:val="1B7A65CE"/>
    <w:rsid w:val="1BA024C9"/>
    <w:rsid w:val="1BCF21F7"/>
    <w:rsid w:val="1BE0716C"/>
    <w:rsid w:val="1C1B4422"/>
    <w:rsid w:val="1C1D55CD"/>
    <w:rsid w:val="1C3C02A5"/>
    <w:rsid w:val="1CD70C50"/>
    <w:rsid w:val="1CE04F7B"/>
    <w:rsid w:val="1CE10524"/>
    <w:rsid w:val="1D171CB5"/>
    <w:rsid w:val="1D2D2EE2"/>
    <w:rsid w:val="1D327726"/>
    <w:rsid w:val="1D700472"/>
    <w:rsid w:val="1D723CBF"/>
    <w:rsid w:val="1D7A6133"/>
    <w:rsid w:val="1D7D03D9"/>
    <w:rsid w:val="1D893566"/>
    <w:rsid w:val="1DA673BA"/>
    <w:rsid w:val="1DEE10C0"/>
    <w:rsid w:val="1DFA1767"/>
    <w:rsid w:val="1DFA28A9"/>
    <w:rsid w:val="1E1476F6"/>
    <w:rsid w:val="1E376925"/>
    <w:rsid w:val="1E3F127E"/>
    <w:rsid w:val="1E76524D"/>
    <w:rsid w:val="1EC566FB"/>
    <w:rsid w:val="1ED03DAA"/>
    <w:rsid w:val="1EDF7CF6"/>
    <w:rsid w:val="1EE75EB8"/>
    <w:rsid w:val="1EF85005"/>
    <w:rsid w:val="1F0770C2"/>
    <w:rsid w:val="1F311F3A"/>
    <w:rsid w:val="1F35581E"/>
    <w:rsid w:val="1F6015E8"/>
    <w:rsid w:val="1F7D1DDB"/>
    <w:rsid w:val="1F87652C"/>
    <w:rsid w:val="1F993011"/>
    <w:rsid w:val="1FA94C28"/>
    <w:rsid w:val="1FD61C77"/>
    <w:rsid w:val="1FE779B9"/>
    <w:rsid w:val="20102A57"/>
    <w:rsid w:val="202A7F60"/>
    <w:rsid w:val="20582BBE"/>
    <w:rsid w:val="2076213C"/>
    <w:rsid w:val="20961A13"/>
    <w:rsid w:val="20A321A6"/>
    <w:rsid w:val="20C971E1"/>
    <w:rsid w:val="20CB5A89"/>
    <w:rsid w:val="20E94691"/>
    <w:rsid w:val="20FE5398"/>
    <w:rsid w:val="21224398"/>
    <w:rsid w:val="21330C35"/>
    <w:rsid w:val="2141651D"/>
    <w:rsid w:val="215777A0"/>
    <w:rsid w:val="224B1AB1"/>
    <w:rsid w:val="226F5569"/>
    <w:rsid w:val="22887AF8"/>
    <w:rsid w:val="22E224BC"/>
    <w:rsid w:val="23061B65"/>
    <w:rsid w:val="230837D7"/>
    <w:rsid w:val="23284418"/>
    <w:rsid w:val="23310DB2"/>
    <w:rsid w:val="233B67B1"/>
    <w:rsid w:val="234E3F37"/>
    <w:rsid w:val="23621079"/>
    <w:rsid w:val="23661EC0"/>
    <w:rsid w:val="236D4D4E"/>
    <w:rsid w:val="23A3077D"/>
    <w:rsid w:val="23A73543"/>
    <w:rsid w:val="23AD7FFD"/>
    <w:rsid w:val="23D21E37"/>
    <w:rsid w:val="23E94F91"/>
    <w:rsid w:val="23EE3F8C"/>
    <w:rsid w:val="23EF37D9"/>
    <w:rsid w:val="23F522FA"/>
    <w:rsid w:val="23F84509"/>
    <w:rsid w:val="24173D84"/>
    <w:rsid w:val="24186474"/>
    <w:rsid w:val="24354263"/>
    <w:rsid w:val="24524D43"/>
    <w:rsid w:val="246053E9"/>
    <w:rsid w:val="248B6280"/>
    <w:rsid w:val="24917D54"/>
    <w:rsid w:val="249E2709"/>
    <w:rsid w:val="24A719E2"/>
    <w:rsid w:val="24C00E98"/>
    <w:rsid w:val="24D57037"/>
    <w:rsid w:val="24E64538"/>
    <w:rsid w:val="250F3F51"/>
    <w:rsid w:val="25197EF0"/>
    <w:rsid w:val="251F212D"/>
    <w:rsid w:val="253911F1"/>
    <w:rsid w:val="25417F88"/>
    <w:rsid w:val="25453E4A"/>
    <w:rsid w:val="25476B4C"/>
    <w:rsid w:val="257B61EB"/>
    <w:rsid w:val="257D08EC"/>
    <w:rsid w:val="25B03169"/>
    <w:rsid w:val="25BF0E1C"/>
    <w:rsid w:val="25C56316"/>
    <w:rsid w:val="25D80C38"/>
    <w:rsid w:val="25F84783"/>
    <w:rsid w:val="260912D9"/>
    <w:rsid w:val="261412F0"/>
    <w:rsid w:val="26346106"/>
    <w:rsid w:val="26522FEB"/>
    <w:rsid w:val="2654461C"/>
    <w:rsid w:val="26636FAE"/>
    <w:rsid w:val="267032F7"/>
    <w:rsid w:val="26730F58"/>
    <w:rsid w:val="26D53F50"/>
    <w:rsid w:val="26E64880"/>
    <w:rsid w:val="2713564E"/>
    <w:rsid w:val="2732420D"/>
    <w:rsid w:val="2769502E"/>
    <w:rsid w:val="27AE0EFD"/>
    <w:rsid w:val="27BE26DE"/>
    <w:rsid w:val="27C20200"/>
    <w:rsid w:val="27ED7859"/>
    <w:rsid w:val="282C5073"/>
    <w:rsid w:val="2851680C"/>
    <w:rsid w:val="28527C96"/>
    <w:rsid w:val="28A90166"/>
    <w:rsid w:val="28B55552"/>
    <w:rsid w:val="28B629AA"/>
    <w:rsid w:val="28BB1096"/>
    <w:rsid w:val="28C04490"/>
    <w:rsid w:val="28EC7B2C"/>
    <w:rsid w:val="28F5191C"/>
    <w:rsid w:val="290D1DA2"/>
    <w:rsid w:val="29290861"/>
    <w:rsid w:val="293547BE"/>
    <w:rsid w:val="29365078"/>
    <w:rsid w:val="29E4464B"/>
    <w:rsid w:val="29F15F96"/>
    <w:rsid w:val="29F7772F"/>
    <w:rsid w:val="29FE595B"/>
    <w:rsid w:val="2A104E44"/>
    <w:rsid w:val="2A191D31"/>
    <w:rsid w:val="2A2F16C9"/>
    <w:rsid w:val="2A543473"/>
    <w:rsid w:val="2A7C1F82"/>
    <w:rsid w:val="2ACC31A1"/>
    <w:rsid w:val="2AD778D7"/>
    <w:rsid w:val="2AEC4784"/>
    <w:rsid w:val="2AFE4FA4"/>
    <w:rsid w:val="2B095B6D"/>
    <w:rsid w:val="2B0E7158"/>
    <w:rsid w:val="2B316CE0"/>
    <w:rsid w:val="2B694F02"/>
    <w:rsid w:val="2B7152C9"/>
    <w:rsid w:val="2BE250D1"/>
    <w:rsid w:val="2BED4961"/>
    <w:rsid w:val="2BF439E9"/>
    <w:rsid w:val="2BF52047"/>
    <w:rsid w:val="2C100FD5"/>
    <w:rsid w:val="2C13054C"/>
    <w:rsid w:val="2C4A0D6C"/>
    <w:rsid w:val="2C6C15D4"/>
    <w:rsid w:val="2C864A79"/>
    <w:rsid w:val="2C995B7D"/>
    <w:rsid w:val="2CA753AE"/>
    <w:rsid w:val="2CCB037A"/>
    <w:rsid w:val="2D0C6E41"/>
    <w:rsid w:val="2D0E3E1B"/>
    <w:rsid w:val="2D226804"/>
    <w:rsid w:val="2D227DE8"/>
    <w:rsid w:val="2D605C7B"/>
    <w:rsid w:val="2D7F0751"/>
    <w:rsid w:val="2D9519ED"/>
    <w:rsid w:val="2DCD3AC9"/>
    <w:rsid w:val="2DF5627E"/>
    <w:rsid w:val="2E0E5B24"/>
    <w:rsid w:val="2E632389"/>
    <w:rsid w:val="2E69341D"/>
    <w:rsid w:val="2E981573"/>
    <w:rsid w:val="2EB1427C"/>
    <w:rsid w:val="2EBD1438"/>
    <w:rsid w:val="2EC06377"/>
    <w:rsid w:val="2ED76D83"/>
    <w:rsid w:val="2EE2164C"/>
    <w:rsid w:val="2EED6679"/>
    <w:rsid w:val="2EF86382"/>
    <w:rsid w:val="2FA57334"/>
    <w:rsid w:val="2FB543EB"/>
    <w:rsid w:val="2FD633DC"/>
    <w:rsid w:val="30046521"/>
    <w:rsid w:val="30105D4C"/>
    <w:rsid w:val="30285671"/>
    <w:rsid w:val="3041571D"/>
    <w:rsid w:val="30424880"/>
    <w:rsid w:val="304D549E"/>
    <w:rsid w:val="305537F7"/>
    <w:rsid w:val="30645A2E"/>
    <w:rsid w:val="30760923"/>
    <w:rsid w:val="308074C7"/>
    <w:rsid w:val="308826B8"/>
    <w:rsid w:val="30C84A18"/>
    <w:rsid w:val="31220A1F"/>
    <w:rsid w:val="315A3987"/>
    <w:rsid w:val="31600110"/>
    <w:rsid w:val="31601819"/>
    <w:rsid w:val="317F610E"/>
    <w:rsid w:val="319340C7"/>
    <w:rsid w:val="31BD4B76"/>
    <w:rsid w:val="31C936D9"/>
    <w:rsid w:val="31F8453F"/>
    <w:rsid w:val="31FD7D8C"/>
    <w:rsid w:val="3209488A"/>
    <w:rsid w:val="321B6B97"/>
    <w:rsid w:val="32312065"/>
    <w:rsid w:val="32477BC4"/>
    <w:rsid w:val="32722236"/>
    <w:rsid w:val="327B6906"/>
    <w:rsid w:val="32947C79"/>
    <w:rsid w:val="32AD6018"/>
    <w:rsid w:val="32C83FFC"/>
    <w:rsid w:val="32D5529A"/>
    <w:rsid w:val="33614B27"/>
    <w:rsid w:val="337A4A69"/>
    <w:rsid w:val="3397791A"/>
    <w:rsid w:val="33F36CE3"/>
    <w:rsid w:val="340B7680"/>
    <w:rsid w:val="34122530"/>
    <w:rsid w:val="34314B6C"/>
    <w:rsid w:val="345E21E7"/>
    <w:rsid w:val="34CA0395"/>
    <w:rsid w:val="34EB0095"/>
    <w:rsid w:val="34F52CD0"/>
    <w:rsid w:val="352E1AE7"/>
    <w:rsid w:val="353336B9"/>
    <w:rsid w:val="35954F0F"/>
    <w:rsid w:val="35AE5C79"/>
    <w:rsid w:val="35DE3B3E"/>
    <w:rsid w:val="35EE106A"/>
    <w:rsid w:val="35F82270"/>
    <w:rsid w:val="360C6CE3"/>
    <w:rsid w:val="36373D83"/>
    <w:rsid w:val="36600AEF"/>
    <w:rsid w:val="36671A32"/>
    <w:rsid w:val="36982398"/>
    <w:rsid w:val="36A96D24"/>
    <w:rsid w:val="36C0194E"/>
    <w:rsid w:val="36C974D9"/>
    <w:rsid w:val="36CE3805"/>
    <w:rsid w:val="36E151A3"/>
    <w:rsid w:val="3744158D"/>
    <w:rsid w:val="37617420"/>
    <w:rsid w:val="37F74C5D"/>
    <w:rsid w:val="380B16FE"/>
    <w:rsid w:val="380E0951"/>
    <w:rsid w:val="380F24A6"/>
    <w:rsid w:val="38243BA0"/>
    <w:rsid w:val="38266672"/>
    <w:rsid w:val="38561B4E"/>
    <w:rsid w:val="38631986"/>
    <w:rsid w:val="38952AA7"/>
    <w:rsid w:val="38974326"/>
    <w:rsid w:val="38A07E98"/>
    <w:rsid w:val="38BB4F57"/>
    <w:rsid w:val="38E52254"/>
    <w:rsid w:val="38E74D23"/>
    <w:rsid w:val="38E84A7E"/>
    <w:rsid w:val="38EF5A21"/>
    <w:rsid w:val="390A764C"/>
    <w:rsid w:val="39291640"/>
    <w:rsid w:val="392F6529"/>
    <w:rsid w:val="39373CD3"/>
    <w:rsid w:val="393F5F94"/>
    <w:rsid w:val="394B7B7C"/>
    <w:rsid w:val="395B384F"/>
    <w:rsid w:val="395C66AF"/>
    <w:rsid w:val="395D0C7A"/>
    <w:rsid w:val="396320D7"/>
    <w:rsid w:val="397D0073"/>
    <w:rsid w:val="39847B80"/>
    <w:rsid w:val="399C1366"/>
    <w:rsid w:val="39CB3C13"/>
    <w:rsid w:val="3A4121B5"/>
    <w:rsid w:val="3A9441AC"/>
    <w:rsid w:val="3AA95CEF"/>
    <w:rsid w:val="3AF829CB"/>
    <w:rsid w:val="3B0013C6"/>
    <w:rsid w:val="3B100283"/>
    <w:rsid w:val="3B1D7FD1"/>
    <w:rsid w:val="3B5A1F4A"/>
    <w:rsid w:val="3B8F55FE"/>
    <w:rsid w:val="3B9C6752"/>
    <w:rsid w:val="3BA6145A"/>
    <w:rsid w:val="3BB601A5"/>
    <w:rsid w:val="3BC00B74"/>
    <w:rsid w:val="3C0100E5"/>
    <w:rsid w:val="3C1C735B"/>
    <w:rsid w:val="3C563399"/>
    <w:rsid w:val="3C580B67"/>
    <w:rsid w:val="3C7D4082"/>
    <w:rsid w:val="3C9C1A7C"/>
    <w:rsid w:val="3CBB33C3"/>
    <w:rsid w:val="3CD0583F"/>
    <w:rsid w:val="3CF00A45"/>
    <w:rsid w:val="3CFE78F6"/>
    <w:rsid w:val="3CFE7F7D"/>
    <w:rsid w:val="3D18103F"/>
    <w:rsid w:val="3D363B4D"/>
    <w:rsid w:val="3D3D5F7D"/>
    <w:rsid w:val="3D554EC7"/>
    <w:rsid w:val="3D5B55FC"/>
    <w:rsid w:val="3D6511DE"/>
    <w:rsid w:val="3DB9056E"/>
    <w:rsid w:val="3DDD60F0"/>
    <w:rsid w:val="3DE100B0"/>
    <w:rsid w:val="3DE9380D"/>
    <w:rsid w:val="3DEA6DE7"/>
    <w:rsid w:val="3DEE1D97"/>
    <w:rsid w:val="3DFE4BFA"/>
    <w:rsid w:val="3E1C1944"/>
    <w:rsid w:val="3E426D41"/>
    <w:rsid w:val="3E591AA9"/>
    <w:rsid w:val="3E99114D"/>
    <w:rsid w:val="3EA34DC2"/>
    <w:rsid w:val="3EC848CB"/>
    <w:rsid w:val="3ED12264"/>
    <w:rsid w:val="3EDE228C"/>
    <w:rsid w:val="3EFD3239"/>
    <w:rsid w:val="3F3A173B"/>
    <w:rsid w:val="3F4502D0"/>
    <w:rsid w:val="3F5873A9"/>
    <w:rsid w:val="3F5A26C0"/>
    <w:rsid w:val="3F724F92"/>
    <w:rsid w:val="3F7D3021"/>
    <w:rsid w:val="3F944CD0"/>
    <w:rsid w:val="3FBC1F92"/>
    <w:rsid w:val="3FBC6C76"/>
    <w:rsid w:val="3FC73C8E"/>
    <w:rsid w:val="3FCA3E20"/>
    <w:rsid w:val="3FD20429"/>
    <w:rsid w:val="3FD22F34"/>
    <w:rsid w:val="3FF16AA2"/>
    <w:rsid w:val="400C6C6B"/>
    <w:rsid w:val="401C1BB4"/>
    <w:rsid w:val="402C519A"/>
    <w:rsid w:val="407F5EB8"/>
    <w:rsid w:val="40864129"/>
    <w:rsid w:val="40AE3510"/>
    <w:rsid w:val="40BD68B7"/>
    <w:rsid w:val="41356680"/>
    <w:rsid w:val="414020F0"/>
    <w:rsid w:val="41542801"/>
    <w:rsid w:val="41553556"/>
    <w:rsid w:val="417C09A4"/>
    <w:rsid w:val="417E73CD"/>
    <w:rsid w:val="42557337"/>
    <w:rsid w:val="426B0937"/>
    <w:rsid w:val="427D21C4"/>
    <w:rsid w:val="42890CF9"/>
    <w:rsid w:val="42B258AE"/>
    <w:rsid w:val="42E16A17"/>
    <w:rsid w:val="42F47F45"/>
    <w:rsid w:val="4311129E"/>
    <w:rsid w:val="4327615F"/>
    <w:rsid w:val="4335428A"/>
    <w:rsid w:val="435F0DAA"/>
    <w:rsid w:val="43626B03"/>
    <w:rsid w:val="43683E4B"/>
    <w:rsid w:val="436B343F"/>
    <w:rsid w:val="436E7753"/>
    <w:rsid w:val="437B6E7B"/>
    <w:rsid w:val="43D523CB"/>
    <w:rsid w:val="43E541AC"/>
    <w:rsid w:val="43E94252"/>
    <w:rsid w:val="43F23B6B"/>
    <w:rsid w:val="442D4CB1"/>
    <w:rsid w:val="4431182B"/>
    <w:rsid w:val="44350AF5"/>
    <w:rsid w:val="446613B8"/>
    <w:rsid w:val="44825FDC"/>
    <w:rsid w:val="448F1692"/>
    <w:rsid w:val="44AC7F60"/>
    <w:rsid w:val="452B04C7"/>
    <w:rsid w:val="453164A4"/>
    <w:rsid w:val="454457CF"/>
    <w:rsid w:val="455D6B82"/>
    <w:rsid w:val="45686861"/>
    <w:rsid w:val="458E1AAA"/>
    <w:rsid w:val="4593787A"/>
    <w:rsid w:val="459A10E5"/>
    <w:rsid w:val="45B349C6"/>
    <w:rsid w:val="45C4280E"/>
    <w:rsid w:val="45D10245"/>
    <w:rsid w:val="45D9178A"/>
    <w:rsid w:val="45F169CC"/>
    <w:rsid w:val="45FF6AF4"/>
    <w:rsid w:val="461A58FD"/>
    <w:rsid w:val="4646393B"/>
    <w:rsid w:val="46607B4C"/>
    <w:rsid w:val="467F48F5"/>
    <w:rsid w:val="469A5F52"/>
    <w:rsid w:val="46C16577"/>
    <w:rsid w:val="47063AF8"/>
    <w:rsid w:val="47197E84"/>
    <w:rsid w:val="4774740A"/>
    <w:rsid w:val="478C0D5E"/>
    <w:rsid w:val="47984B88"/>
    <w:rsid w:val="47C1121A"/>
    <w:rsid w:val="47C25F5B"/>
    <w:rsid w:val="47E171AA"/>
    <w:rsid w:val="483415C7"/>
    <w:rsid w:val="483D6FE1"/>
    <w:rsid w:val="48552409"/>
    <w:rsid w:val="48B21FF6"/>
    <w:rsid w:val="48BB60DD"/>
    <w:rsid w:val="48C3540A"/>
    <w:rsid w:val="48DC2FD4"/>
    <w:rsid w:val="48E43564"/>
    <w:rsid w:val="48E47C80"/>
    <w:rsid w:val="490E72A8"/>
    <w:rsid w:val="497863E7"/>
    <w:rsid w:val="4992688A"/>
    <w:rsid w:val="4A0227C1"/>
    <w:rsid w:val="4A2F4571"/>
    <w:rsid w:val="4A441AB8"/>
    <w:rsid w:val="4A4C121B"/>
    <w:rsid w:val="4A6A2FE3"/>
    <w:rsid w:val="4A7E1EAF"/>
    <w:rsid w:val="4A8021AD"/>
    <w:rsid w:val="4A9936B7"/>
    <w:rsid w:val="4AC3185A"/>
    <w:rsid w:val="4AF64EC5"/>
    <w:rsid w:val="4B0F4827"/>
    <w:rsid w:val="4B314FE4"/>
    <w:rsid w:val="4B7F2735"/>
    <w:rsid w:val="4B910CC1"/>
    <w:rsid w:val="4B9E17CA"/>
    <w:rsid w:val="4BA044D3"/>
    <w:rsid w:val="4BBC555D"/>
    <w:rsid w:val="4BBD7F2A"/>
    <w:rsid w:val="4BC73E6B"/>
    <w:rsid w:val="4BD57EBE"/>
    <w:rsid w:val="4BDC3B5A"/>
    <w:rsid w:val="4C0830C8"/>
    <w:rsid w:val="4C5018F0"/>
    <w:rsid w:val="4C637BDC"/>
    <w:rsid w:val="4C86158F"/>
    <w:rsid w:val="4C9F6FC6"/>
    <w:rsid w:val="4CB21E76"/>
    <w:rsid w:val="4CBF74F0"/>
    <w:rsid w:val="4CD244F7"/>
    <w:rsid w:val="4D372C5F"/>
    <w:rsid w:val="4D5A7EBA"/>
    <w:rsid w:val="4D8B7B38"/>
    <w:rsid w:val="4DBA49C4"/>
    <w:rsid w:val="4DC83F9B"/>
    <w:rsid w:val="4DF85574"/>
    <w:rsid w:val="4E3D73E5"/>
    <w:rsid w:val="4E5A28B3"/>
    <w:rsid w:val="4E905803"/>
    <w:rsid w:val="4EC83590"/>
    <w:rsid w:val="4ED6002E"/>
    <w:rsid w:val="4ED807C7"/>
    <w:rsid w:val="4EDB43CE"/>
    <w:rsid w:val="4EF15452"/>
    <w:rsid w:val="4EF17579"/>
    <w:rsid w:val="4F082CE6"/>
    <w:rsid w:val="4F1C7356"/>
    <w:rsid w:val="4F2A4DA6"/>
    <w:rsid w:val="4F9A279D"/>
    <w:rsid w:val="4F9F6AA6"/>
    <w:rsid w:val="4FB37E6F"/>
    <w:rsid w:val="4FC07DF1"/>
    <w:rsid w:val="4FC96D07"/>
    <w:rsid w:val="4FE35929"/>
    <w:rsid w:val="4FED1F36"/>
    <w:rsid w:val="4FFD11D3"/>
    <w:rsid w:val="500E69BA"/>
    <w:rsid w:val="500F5F26"/>
    <w:rsid w:val="501A1CE4"/>
    <w:rsid w:val="501A7D14"/>
    <w:rsid w:val="502F031A"/>
    <w:rsid w:val="503B33DF"/>
    <w:rsid w:val="503D3BA7"/>
    <w:rsid w:val="503E6923"/>
    <w:rsid w:val="50427AAD"/>
    <w:rsid w:val="505A5979"/>
    <w:rsid w:val="50670756"/>
    <w:rsid w:val="508238C3"/>
    <w:rsid w:val="50B933A3"/>
    <w:rsid w:val="50CB3EAD"/>
    <w:rsid w:val="50CB7585"/>
    <w:rsid w:val="50D0137A"/>
    <w:rsid w:val="50E507A2"/>
    <w:rsid w:val="50E66AF8"/>
    <w:rsid w:val="510A18A6"/>
    <w:rsid w:val="51222D18"/>
    <w:rsid w:val="514928D9"/>
    <w:rsid w:val="514A0C09"/>
    <w:rsid w:val="514B0C9E"/>
    <w:rsid w:val="51693BD0"/>
    <w:rsid w:val="51843C67"/>
    <w:rsid w:val="518838AF"/>
    <w:rsid w:val="51943417"/>
    <w:rsid w:val="51CE5680"/>
    <w:rsid w:val="51D71227"/>
    <w:rsid w:val="52074497"/>
    <w:rsid w:val="52547590"/>
    <w:rsid w:val="52603268"/>
    <w:rsid w:val="52633035"/>
    <w:rsid w:val="527A66B8"/>
    <w:rsid w:val="529F12FF"/>
    <w:rsid w:val="52A00945"/>
    <w:rsid w:val="530F0DBD"/>
    <w:rsid w:val="532E1F18"/>
    <w:rsid w:val="539C3B7C"/>
    <w:rsid w:val="53AF3049"/>
    <w:rsid w:val="53C66569"/>
    <w:rsid w:val="53F97AE5"/>
    <w:rsid w:val="544819CB"/>
    <w:rsid w:val="54530D15"/>
    <w:rsid w:val="547F2A16"/>
    <w:rsid w:val="54822F83"/>
    <w:rsid w:val="5484167A"/>
    <w:rsid w:val="54973E33"/>
    <w:rsid w:val="549D72E0"/>
    <w:rsid w:val="54AC75FC"/>
    <w:rsid w:val="54BD22CC"/>
    <w:rsid w:val="54BE18E4"/>
    <w:rsid w:val="54F309DA"/>
    <w:rsid w:val="54FC6C64"/>
    <w:rsid w:val="54FE634B"/>
    <w:rsid w:val="55145706"/>
    <w:rsid w:val="55500D21"/>
    <w:rsid w:val="55671C26"/>
    <w:rsid w:val="55683E45"/>
    <w:rsid w:val="55B75071"/>
    <w:rsid w:val="55CF55DC"/>
    <w:rsid w:val="56066FA5"/>
    <w:rsid w:val="57315866"/>
    <w:rsid w:val="573B120B"/>
    <w:rsid w:val="576869FF"/>
    <w:rsid w:val="576A2701"/>
    <w:rsid w:val="577A47F0"/>
    <w:rsid w:val="57880011"/>
    <w:rsid w:val="578A5DFF"/>
    <w:rsid w:val="578E3287"/>
    <w:rsid w:val="57AC4626"/>
    <w:rsid w:val="57BC6BDD"/>
    <w:rsid w:val="57F95469"/>
    <w:rsid w:val="58095E55"/>
    <w:rsid w:val="580B0677"/>
    <w:rsid w:val="58251F9F"/>
    <w:rsid w:val="588A3ACB"/>
    <w:rsid w:val="58A561CC"/>
    <w:rsid w:val="58BA08BC"/>
    <w:rsid w:val="58D176F0"/>
    <w:rsid w:val="58F71407"/>
    <w:rsid w:val="5923168F"/>
    <w:rsid w:val="592A16B1"/>
    <w:rsid w:val="59636EEB"/>
    <w:rsid w:val="5967268F"/>
    <w:rsid w:val="59A34FB8"/>
    <w:rsid w:val="59AD70E4"/>
    <w:rsid w:val="59C22A7E"/>
    <w:rsid w:val="59C82B72"/>
    <w:rsid w:val="59E62C97"/>
    <w:rsid w:val="59EE3073"/>
    <w:rsid w:val="5A2368AB"/>
    <w:rsid w:val="5A244B66"/>
    <w:rsid w:val="5A440C45"/>
    <w:rsid w:val="5AA271B6"/>
    <w:rsid w:val="5AB463E4"/>
    <w:rsid w:val="5AC17BF9"/>
    <w:rsid w:val="5AD55D0E"/>
    <w:rsid w:val="5B143516"/>
    <w:rsid w:val="5B5D11B1"/>
    <w:rsid w:val="5B621020"/>
    <w:rsid w:val="5B7F1B60"/>
    <w:rsid w:val="5B8126D1"/>
    <w:rsid w:val="5B993D9D"/>
    <w:rsid w:val="5BFA1960"/>
    <w:rsid w:val="5C1A2F91"/>
    <w:rsid w:val="5C3344ED"/>
    <w:rsid w:val="5CAC0DF6"/>
    <w:rsid w:val="5CC9275E"/>
    <w:rsid w:val="5CD27986"/>
    <w:rsid w:val="5D134745"/>
    <w:rsid w:val="5D3B7564"/>
    <w:rsid w:val="5D4134F0"/>
    <w:rsid w:val="5D4F5FE2"/>
    <w:rsid w:val="5D6706E5"/>
    <w:rsid w:val="5D7D1F5E"/>
    <w:rsid w:val="5D87162A"/>
    <w:rsid w:val="5DA1670F"/>
    <w:rsid w:val="5E4B7073"/>
    <w:rsid w:val="5E5C65C3"/>
    <w:rsid w:val="5E6E1F99"/>
    <w:rsid w:val="5E795956"/>
    <w:rsid w:val="5E8B1FF4"/>
    <w:rsid w:val="5E983D80"/>
    <w:rsid w:val="5EA24725"/>
    <w:rsid w:val="5EA852CF"/>
    <w:rsid w:val="5EB93D1A"/>
    <w:rsid w:val="5EC05C06"/>
    <w:rsid w:val="5F067738"/>
    <w:rsid w:val="5F416170"/>
    <w:rsid w:val="5F63351E"/>
    <w:rsid w:val="5F771114"/>
    <w:rsid w:val="5FCE0095"/>
    <w:rsid w:val="5FF42985"/>
    <w:rsid w:val="60113022"/>
    <w:rsid w:val="60415179"/>
    <w:rsid w:val="607D3BE7"/>
    <w:rsid w:val="608F55BB"/>
    <w:rsid w:val="60A017E8"/>
    <w:rsid w:val="60C370CD"/>
    <w:rsid w:val="60CF47B2"/>
    <w:rsid w:val="60F44D74"/>
    <w:rsid w:val="61062FF0"/>
    <w:rsid w:val="614C0FE8"/>
    <w:rsid w:val="61A77179"/>
    <w:rsid w:val="61E118C0"/>
    <w:rsid w:val="620912EE"/>
    <w:rsid w:val="62295D8A"/>
    <w:rsid w:val="62433B0C"/>
    <w:rsid w:val="625F78B8"/>
    <w:rsid w:val="626867EE"/>
    <w:rsid w:val="626A52D2"/>
    <w:rsid w:val="62990D4E"/>
    <w:rsid w:val="62A22AEB"/>
    <w:rsid w:val="63055E89"/>
    <w:rsid w:val="63172AA0"/>
    <w:rsid w:val="63286D57"/>
    <w:rsid w:val="634850EB"/>
    <w:rsid w:val="63782D19"/>
    <w:rsid w:val="638702EE"/>
    <w:rsid w:val="63BE490E"/>
    <w:rsid w:val="63CA640B"/>
    <w:rsid w:val="63D00CB0"/>
    <w:rsid w:val="63F66776"/>
    <w:rsid w:val="642211B4"/>
    <w:rsid w:val="64413CB7"/>
    <w:rsid w:val="647D4EAF"/>
    <w:rsid w:val="6486198F"/>
    <w:rsid w:val="64AB56FE"/>
    <w:rsid w:val="64B57A4C"/>
    <w:rsid w:val="64C0201D"/>
    <w:rsid w:val="64C95859"/>
    <w:rsid w:val="64C97A2A"/>
    <w:rsid w:val="64D96707"/>
    <w:rsid w:val="64FF0952"/>
    <w:rsid w:val="65210DF1"/>
    <w:rsid w:val="65212BA7"/>
    <w:rsid w:val="65302BAB"/>
    <w:rsid w:val="65366987"/>
    <w:rsid w:val="65367F9F"/>
    <w:rsid w:val="653C32D1"/>
    <w:rsid w:val="653D35F9"/>
    <w:rsid w:val="657062B3"/>
    <w:rsid w:val="65871124"/>
    <w:rsid w:val="65901C1D"/>
    <w:rsid w:val="659174B0"/>
    <w:rsid w:val="659829C8"/>
    <w:rsid w:val="65B53B59"/>
    <w:rsid w:val="65E32BEF"/>
    <w:rsid w:val="65FE2947"/>
    <w:rsid w:val="6600522C"/>
    <w:rsid w:val="66224673"/>
    <w:rsid w:val="668F5754"/>
    <w:rsid w:val="66AA6394"/>
    <w:rsid w:val="66B44559"/>
    <w:rsid w:val="66EC5E74"/>
    <w:rsid w:val="67042677"/>
    <w:rsid w:val="671F2155"/>
    <w:rsid w:val="671F6C6F"/>
    <w:rsid w:val="67367AEE"/>
    <w:rsid w:val="67453FBB"/>
    <w:rsid w:val="67687EB7"/>
    <w:rsid w:val="676F7974"/>
    <w:rsid w:val="678244B0"/>
    <w:rsid w:val="678A075F"/>
    <w:rsid w:val="678A6A09"/>
    <w:rsid w:val="67C43B93"/>
    <w:rsid w:val="67D3761A"/>
    <w:rsid w:val="67D503B3"/>
    <w:rsid w:val="67EA62B8"/>
    <w:rsid w:val="67F67346"/>
    <w:rsid w:val="680D4462"/>
    <w:rsid w:val="68232C76"/>
    <w:rsid w:val="682A213B"/>
    <w:rsid w:val="683245EC"/>
    <w:rsid w:val="683476CC"/>
    <w:rsid w:val="684466D2"/>
    <w:rsid w:val="687202CF"/>
    <w:rsid w:val="68890BCC"/>
    <w:rsid w:val="68927BD5"/>
    <w:rsid w:val="68A74901"/>
    <w:rsid w:val="68BB55AB"/>
    <w:rsid w:val="68C2509B"/>
    <w:rsid w:val="68CD77F0"/>
    <w:rsid w:val="690928AD"/>
    <w:rsid w:val="690B206D"/>
    <w:rsid w:val="69330B2F"/>
    <w:rsid w:val="693D5FCB"/>
    <w:rsid w:val="69500FA9"/>
    <w:rsid w:val="69567B19"/>
    <w:rsid w:val="698511F2"/>
    <w:rsid w:val="699F01D8"/>
    <w:rsid w:val="69A53898"/>
    <w:rsid w:val="69BC7554"/>
    <w:rsid w:val="69D07CF3"/>
    <w:rsid w:val="69D265D7"/>
    <w:rsid w:val="6A5513D8"/>
    <w:rsid w:val="6AB54AD2"/>
    <w:rsid w:val="6AEA4DC6"/>
    <w:rsid w:val="6AF15062"/>
    <w:rsid w:val="6AFA787C"/>
    <w:rsid w:val="6B010CDF"/>
    <w:rsid w:val="6B0849A8"/>
    <w:rsid w:val="6B262A38"/>
    <w:rsid w:val="6B2C0F11"/>
    <w:rsid w:val="6B482298"/>
    <w:rsid w:val="6B4D4B02"/>
    <w:rsid w:val="6B5B3A07"/>
    <w:rsid w:val="6B5E0E46"/>
    <w:rsid w:val="6B681A03"/>
    <w:rsid w:val="6C077EE5"/>
    <w:rsid w:val="6C370C6B"/>
    <w:rsid w:val="6C570E96"/>
    <w:rsid w:val="6C655A75"/>
    <w:rsid w:val="6C7D4D4E"/>
    <w:rsid w:val="6CAD5E98"/>
    <w:rsid w:val="6CDD0C81"/>
    <w:rsid w:val="6CE550A1"/>
    <w:rsid w:val="6CEC09B7"/>
    <w:rsid w:val="6D156AE9"/>
    <w:rsid w:val="6D2C27E5"/>
    <w:rsid w:val="6D7D18AB"/>
    <w:rsid w:val="6DDD20DC"/>
    <w:rsid w:val="6E494EB6"/>
    <w:rsid w:val="6E6E7C74"/>
    <w:rsid w:val="6E972449"/>
    <w:rsid w:val="6EAC760A"/>
    <w:rsid w:val="6ED540C1"/>
    <w:rsid w:val="6EDD1E39"/>
    <w:rsid w:val="6F030AA1"/>
    <w:rsid w:val="6F4C3E7C"/>
    <w:rsid w:val="6F760517"/>
    <w:rsid w:val="6F787E0D"/>
    <w:rsid w:val="6F7B1914"/>
    <w:rsid w:val="6F977C89"/>
    <w:rsid w:val="6FFA20F2"/>
    <w:rsid w:val="70230B10"/>
    <w:rsid w:val="70533178"/>
    <w:rsid w:val="70B35BD4"/>
    <w:rsid w:val="70E12519"/>
    <w:rsid w:val="714526ED"/>
    <w:rsid w:val="71686995"/>
    <w:rsid w:val="723E097E"/>
    <w:rsid w:val="72AD6C25"/>
    <w:rsid w:val="72BF3BC2"/>
    <w:rsid w:val="72E368D1"/>
    <w:rsid w:val="730833D2"/>
    <w:rsid w:val="731866A4"/>
    <w:rsid w:val="732C010F"/>
    <w:rsid w:val="736B2511"/>
    <w:rsid w:val="7373622F"/>
    <w:rsid w:val="738416B3"/>
    <w:rsid w:val="739B47C6"/>
    <w:rsid w:val="739E2BBD"/>
    <w:rsid w:val="73A04FE3"/>
    <w:rsid w:val="73AE7F4F"/>
    <w:rsid w:val="73B70066"/>
    <w:rsid w:val="73CB68FB"/>
    <w:rsid w:val="73FE6423"/>
    <w:rsid w:val="74061A55"/>
    <w:rsid w:val="74165F08"/>
    <w:rsid w:val="74311133"/>
    <w:rsid w:val="74527488"/>
    <w:rsid w:val="745D4B68"/>
    <w:rsid w:val="74B8103D"/>
    <w:rsid w:val="74BD6657"/>
    <w:rsid w:val="74D15EE7"/>
    <w:rsid w:val="74EB3BDE"/>
    <w:rsid w:val="750C5D40"/>
    <w:rsid w:val="755A083D"/>
    <w:rsid w:val="755E600E"/>
    <w:rsid w:val="758B766B"/>
    <w:rsid w:val="7598422C"/>
    <w:rsid w:val="75B2262E"/>
    <w:rsid w:val="75B97396"/>
    <w:rsid w:val="75C373B2"/>
    <w:rsid w:val="75E52F0D"/>
    <w:rsid w:val="75E56541"/>
    <w:rsid w:val="75EC325A"/>
    <w:rsid w:val="76011ABD"/>
    <w:rsid w:val="7672041F"/>
    <w:rsid w:val="76861C68"/>
    <w:rsid w:val="7686209F"/>
    <w:rsid w:val="76A60176"/>
    <w:rsid w:val="76CF63F6"/>
    <w:rsid w:val="77162D0A"/>
    <w:rsid w:val="773D417A"/>
    <w:rsid w:val="775222CA"/>
    <w:rsid w:val="776131A8"/>
    <w:rsid w:val="77823174"/>
    <w:rsid w:val="778E4CF9"/>
    <w:rsid w:val="77A11F0D"/>
    <w:rsid w:val="77F11661"/>
    <w:rsid w:val="78152B55"/>
    <w:rsid w:val="783C4349"/>
    <w:rsid w:val="78836C97"/>
    <w:rsid w:val="788A6B2A"/>
    <w:rsid w:val="78986AC2"/>
    <w:rsid w:val="78BF5765"/>
    <w:rsid w:val="78F14026"/>
    <w:rsid w:val="791B41CF"/>
    <w:rsid w:val="79212D9A"/>
    <w:rsid w:val="79AA045D"/>
    <w:rsid w:val="79B347C3"/>
    <w:rsid w:val="79DA3D5F"/>
    <w:rsid w:val="79DD4090"/>
    <w:rsid w:val="79E640F7"/>
    <w:rsid w:val="7A0804A8"/>
    <w:rsid w:val="7A1A4EAF"/>
    <w:rsid w:val="7A5901B3"/>
    <w:rsid w:val="7A7A119F"/>
    <w:rsid w:val="7ABB20DE"/>
    <w:rsid w:val="7ACF3E31"/>
    <w:rsid w:val="7AD16F39"/>
    <w:rsid w:val="7ADD20A6"/>
    <w:rsid w:val="7AF53BDD"/>
    <w:rsid w:val="7B1B24AC"/>
    <w:rsid w:val="7B8E0923"/>
    <w:rsid w:val="7B9C3686"/>
    <w:rsid w:val="7BBB46F1"/>
    <w:rsid w:val="7BD212BC"/>
    <w:rsid w:val="7BEE2B75"/>
    <w:rsid w:val="7BEF427E"/>
    <w:rsid w:val="7C067990"/>
    <w:rsid w:val="7C12101F"/>
    <w:rsid w:val="7C14375C"/>
    <w:rsid w:val="7C300FD1"/>
    <w:rsid w:val="7C706C09"/>
    <w:rsid w:val="7C855B31"/>
    <w:rsid w:val="7C862389"/>
    <w:rsid w:val="7C94220F"/>
    <w:rsid w:val="7CAB49CD"/>
    <w:rsid w:val="7CAC52C2"/>
    <w:rsid w:val="7CCE7E6D"/>
    <w:rsid w:val="7D037335"/>
    <w:rsid w:val="7D104BBA"/>
    <w:rsid w:val="7DC50DD1"/>
    <w:rsid w:val="7DEF3958"/>
    <w:rsid w:val="7DF16CAB"/>
    <w:rsid w:val="7DF52EB0"/>
    <w:rsid w:val="7DFD63A8"/>
    <w:rsid w:val="7DFE51C8"/>
    <w:rsid w:val="7E2029FE"/>
    <w:rsid w:val="7E246072"/>
    <w:rsid w:val="7E2D350D"/>
    <w:rsid w:val="7E34405D"/>
    <w:rsid w:val="7E4A38D2"/>
    <w:rsid w:val="7E4C3D58"/>
    <w:rsid w:val="7E4C6463"/>
    <w:rsid w:val="7E522567"/>
    <w:rsid w:val="7E8A724E"/>
    <w:rsid w:val="7E982525"/>
    <w:rsid w:val="7EA16A45"/>
    <w:rsid w:val="7EAE268D"/>
    <w:rsid w:val="7ED27982"/>
    <w:rsid w:val="7EF031EE"/>
    <w:rsid w:val="7EF319D7"/>
    <w:rsid w:val="7EFB1B78"/>
    <w:rsid w:val="7F00666E"/>
    <w:rsid w:val="7F11315D"/>
    <w:rsid w:val="7F270E51"/>
    <w:rsid w:val="7F4A5F95"/>
    <w:rsid w:val="7F7F626E"/>
    <w:rsid w:val="7FF62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8">
    <w:name w:val="toc 3"/>
    <w:basedOn w:val="1"/>
    <w:next w:val="1"/>
    <w:qFormat/>
    <w:uiPriority w:val="39"/>
    <w:pPr>
      <w:ind w:left="840" w:leftChars="400"/>
    </w:pPr>
  </w:style>
  <w:style w:type="paragraph" w:styleId="9">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0">
    <w:name w:val="Date"/>
    <w:basedOn w:val="1"/>
    <w:next w:val="1"/>
    <w:link w:val="39"/>
    <w:qFormat/>
    <w:uiPriority w:val="0"/>
    <w:pPr>
      <w:ind w:left="100" w:leftChars="2500"/>
    </w:pPr>
  </w:style>
  <w:style w:type="paragraph" w:styleId="11">
    <w:name w:val="Balloon Text"/>
    <w:basedOn w:val="1"/>
    <w:link w:val="40"/>
    <w:qFormat/>
    <w:uiPriority w:val="0"/>
    <w:rPr>
      <w:sz w:val="18"/>
      <w:szCs w:val="18"/>
    </w:rPr>
  </w:style>
  <w:style w:type="paragraph" w:styleId="12">
    <w:name w:val="footer"/>
    <w:basedOn w:val="1"/>
    <w:link w:val="34"/>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6">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7">
    <w:name w:val="toc 2"/>
    <w:basedOn w:val="1"/>
    <w:next w:val="1"/>
    <w:qFormat/>
    <w:uiPriority w:val="39"/>
    <w:pPr>
      <w:ind w:left="420" w:leftChars="200"/>
    </w:pPr>
  </w:style>
  <w:style w:type="paragraph" w:styleId="18">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19">
    <w:name w:val="Normal (Web)"/>
    <w:basedOn w:val="1"/>
    <w:qFormat/>
    <w:uiPriority w:val="0"/>
    <w:pPr>
      <w:spacing w:before="100" w:beforeAutospacing="1" w:after="100" w:afterAutospacing="1"/>
      <w:jc w:val="left"/>
    </w:pPr>
    <w:rPr>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2">
    <w:name w:val="Medium Grid 1 Accent 6"/>
    <w:basedOn w:val="20"/>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Layout w:type="fixed"/>
      <w:tblCellMar>
        <w:top w:w="0" w:type="dxa"/>
        <w:left w:w="108" w:type="dxa"/>
        <w:bottom w:w="0" w:type="dxa"/>
        <w:right w:w="108" w:type="dxa"/>
      </w:tblCellMar>
    </w:tblPr>
    <w:tcPr>
      <w:shd w:val="clear" w:color="auto" w:fill="FDE4D0"/>
    </w:tcPr>
    <w:tblStylePr w:type="firstRow">
      <w:rPr>
        <w:b/>
        <w:bCs/>
      </w:rPr>
    </w:tblStylePr>
    <w:tblStylePr w:type="lastRow">
      <w:rPr>
        <w:b/>
        <w:bCs/>
      </w:rPr>
      <w:tblPr>
        <w:tblLayout w:type="fixed"/>
      </w:tblPr>
      <w:tcPr>
        <w:tcBorders>
          <w:top w:val="single" w:color="F9B074" w:sz="18" w:space="0"/>
        </w:tcBorders>
      </w:tcPr>
    </w:tblStylePr>
    <w:tblStylePr w:type="firstCol">
      <w:rPr>
        <w:b/>
        <w:bCs/>
      </w:rPr>
    </w:tblStylePr>
    <w:tblStylePr w:type="lastCol">
      <w:rPr>
        <w:b/>
        <w:bCs/>
      </w:rPr>
    </w:tblStylePr>
    <w:tblStylePr w:type="band1Vert">
      <w:tblPr>
        <w:tblLayout w:type="fixed"/>
      </w:tblPr>
      <w:tcPr>
        <w:shd w:val="clear" w:color="auto" w:fill="FBCAA2"/>
      </w:tcPr>
    </w:tblStylePr>
    <w:tblStylePr w:type="band1Horz">
      <w:tblPr>
        <w:tblLayout w:type="fixed"/>
      </w:tblPr>
      <w:tcPr>
        <w:shd w:val="clear" w:color="auto" w:fill="FBCAA2"/>
      </w:tcPr>
    </w:tblStylePr>
  </w:style>
  <w:style w:type="table" w:styleId="23">
    <w:name w:val="Medium Grid 2 Accent 2"/>
    <w:basedOn w:val="20"/>
    <w:qFormat/>
    <w:uiPriority w:val="68"/>
    <w:rPr>
      <w:rFonts w:ascii="Cambria" w:hAnsi="Cambria"/>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Layout w:type="fixed"/>
      <w:tblCellMar>
        <w:top w:w="0" w:type="dxa"/>
        <w:left w:w="108" w:type="dxa"/>
        <w:bottom w:w="0" w:type="dxa"/>
        <w:right w:w="108" w:type="dxa"/>
      </w:tblCellMar>
    </w:tblPr>
    <w:tcPr>
      <w:shd w:val="clear" w:color="auto" w:fill="EFD3D2"/>
    </w:tcPr>
    <w:tblStylePr w:type="firstRow">
      <w:rPr>
        <w:b/>
        <w:bCs/>
        <w:color w:val="000000"/>
      </w:rPr>
      <w:tblPr>
        <w:tblLayout w:type="fixed"/>
      </w:tblPr>
      <w:tcPr>
        <w:shd w:val="clear" w:color="auto" w:fill="F8EDED"/>
      </w:tcPr>
    </w:tblStylePr>
    <w:tblStylePr w:type="lastRow">
      <w:rPr>
        <w:b/>
        <w:bCs/>
        <w:color w:val="000000"/>
      </w:rPr>
      <w:tblPr>
        <w:tblLayout w:type="fixed"/>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blLayout w:type="fixed"/>
      </w:tblPr>
      <w:tcPr>
        <w:tcBorders>
          <w:top w:val="nil"/>
          <w:left w:val="nil"/>
          <w:bottom w:val="nil"/>
          <w:right w:val="nil"/>
          <w:insideH w:val="nil"/>
          <w:insideV w:val="nil"/>
        </w:tcBorders>
        <w:shd w:val="clear" w:color="auto" w:fill="FFFFFF"/>
      </w:tcPr>
    </w:tblStylePr>
    <w:tblStylePr w:type="lastCol">
      <w:rPr>
        <w:b w:val="0"/>
        <w:bCs w:val="0"/>
        <w:color w:val="000000"/>
      </w:rPr>
      <w:tblPr>
        <w:tblLayout w:type="fixed"/>
      </w:tblPr>
      <w:tcPr>
        <w:tcBorders>
          <w:top w:val="nil"/>
          <w:left w:val="nil"/>
          <w:bottom w:val="nil"/>
          <w:right w:val="nil"/>
          <w:insideH w:val="nil"/>
          <w:insideV w:val="nil"/>
        </w:tcBorders>
        <w:shd w:val="clear" w:color="auto" w:fill="F2DBDB"/>
      </w:tcPr>
    </w:tblStylePr>
    <w:tblStylePr w:type="band1Vert">
      <w:tblPr>
        <w:tblLayout w:type="fixed"/>
      </w:tblPr>
      <w:tcPr>
        <w:shd w:val="clear" w:color="auto" w:fill="DFA7A6"/>
      </w:tcPr>
    </w:tblStylePr>
    <w:tblStylePr w:type="band1Horz">
      <w:tblPr>
        <w:tblLayout w:type="fixed"/>
      </w:tblPr>
      <w:tcPr>
        <w:tcBorders>
          <w:insideH w:val="single" w:sz="6" w:space="0"/>
          <w:insideV w:val="single" w:sz="6" w:space="0"/>
        </w:tcBorders>
        <w:shd w:val="clear" w:color="auto" w:fill="DFA7A6"/>
      </w:tcPr>
    </w:tblStylePr>
    <w:tblStylePr w:type="nwCell">
      <w:tblPr>
        <w:tblLayout w:type="fixed"/>
      </w:tblPr>
      <w:tcPr>
        <w:shd w:val="clear" w:color="auto" w:fill="FFFFFF"/>
      </w:tcPr>
    </w:tblStylePr>
  </w:style>
  <w:style w:type="table" w:styleId="24">
    <w:name w:val="Colorful Shading Accent 2"/>
    <w:basedOn w:val="20"/>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F8EDED"/>
    </w:tcPr>
    <w:tblStylePr w:type="firstRow">
      <w:rPr>
        <w:b/>
        <w:bCs/>
      </w:rPr>
      <w:tblPr>
        <w:tblLayout w:type="fixed"/>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blLayout w:type="fixed"/>
      </w:tblPr>
      <w:tcPr>
        <w:tcBorders>
          <w:top w:val="single" w:color="FFFFFF" w:sz="6" w:space="0"/>
        </w:tcBorders>
        <w:shd w:val="clear" w:color="auto" w:fill="772C2A"/>
      </w:tcPr>
    </w:tblStylePr>
    <w:tblStylePr w:type="firstCol">
      <w:rPr>
        <w:color w:val="FFFFFF"/>
      </w:rPr>
      <w:tblPr>
        <w:tblLayout w:type="fixed"/>
      </w:tblPr>
      <w:tcPr>
        <w:tcBorders>
          <w:top w:val="nil"/>
          <w:left w:val="nil"/>
          <w:bottom w:val="nil"/>
          <w:right w:val="nil"/>
          <w:insideH w:val="single" w:sz="4" w:space="0"/>
          <w:insideV w:val="nil"/>
        </w:tcBorders>
        <w:shd w:val="clear" w:color="auto" w:fill="772C2A"/>
      </w:tcPr>
    </w:tblStylePr>
    <w:tblStylePr w:type="lastCol">
      <w:rPr>
        <w:color w:val="FFFFFF"/>
      </w:rPr>
      <w:tblPr>
        <w:tblLayout w:type="fixed"/>
      </w:tblPr>
      <w:tcPr>
        <w:tcBorders>
          <w:top w:val="nil"/>
          <w:left w:val="nil"/>
          <w:bottom w:val="nil"/>
          <w:right w:val="nil"/>
          <w:insideH w:val="nil"/>
          <w:insideV w:val="nil"/>
        </w:tcBorders>
        <w:shd w:val="clear" w:color="auto" w:fill="772C2A"/>
      </w:tcPr>
    </w:tblStylePr>
    <w:tblStylePr w:type="band1Vert">
      <w:tblPr>
        <w:tblLayout w:type="fixed"/>
      </w:tblPr>
      <w:tcPr>
        <w:shd w:val="clear" w:color="auto" w:fill="E5B8B7"/>
      </w:tcPr>
    </w:tblStylePr>
    <w:tblStylePr w:type="band1Horz">
      <w:tblPr>
        <w:tblLayout w:type="fixed"/>
      </w:tblPr>
      <w:tcPr>
        <w:shd w:val="clear" w:color="auto" w:fill="DFA7A6"/>
      </w:tcPr>
    </w:tblStylePr>
    <w:tblStylePr w:type="neCell">
      <w:rPr>
        <w:color w:val="000000"/>
      </w:rPr>
    </w:tblStylePr>
    <w:tblStylePr w:type="nwCell">
      <w:rPr>
        <w:color w:val="000000"/>
      </w:rPr>
    </w:tblStylePr>
  </w:style>
  <w:style w:type="character" w:styleId="26">
    <w:name w:val="Hyperlink"/>
    <w:basedOn w:val="25"/>
    <w:unhideWhenUsed/>
    <w:qFormat/>
    <w:uiPriority w:val="99"/>
    <w:rPr>
      <w:color w:val="0000FF" w:themeColor="hyperlink"/>
      <w:u w:val="single"/>
    </w:rPr>
  </w:style>
  <w:style w:type="character" w:customStyle="1" w:styleId="27">
    <w:name w:val="标题 1 Char"/>
    <w:basedOn w:val="25"/>
    <w:link w:val="2"/>
    <w:qFormat/>
    <w:uiPriority w:val="0"/>
    <w:rPr>
      <w:rFonts w:ascii="Calibri" w:hAnsi="Calibri"/>
      <w:b/>
      <w:bCs/>
      <w:kern w:val="44"/>
      <w:sz w:val="44"/>
      <w:szCs w:val="44"/>
    </w:rPr>
  </w:style>
  <w:style w:type="character" w:customStyle="1" w:styleId="28">
    <w:name w:val="标题 2 Char"/>
    <w:basedOn w:val="25"/>
    <w:link w:val="3"/>
    <w:semiHidden/>
    <w:qFormat/>
    <w:uiPriority w:val="0"/>
    <w:rPr>
      <w:rFonts w:asciiTheme="majorHAnsi" w:hAnsiTheme="majorHAnsi" w:eastAsiaTheme="majorEastAsia" w:cstheme="majorBidi"/>
      <w:b/>
      <w:bCs/>
      <w:kern w:val="2"/>
      <w:sz w:val="32"/>
      <w:szCs w:val="32"/>
    </w:rPr>
  </w:style>
  <w:style w:type="character" w:customStyle="1" w:styleId="29">
    <w:name w:val="标题 3 Char"/>
    <w:basedOn w:val="25"/>
    <w:link w:val="4"/>
    <w:semiHidden/>
    <w:qFormat/>
    <w:uiPriority w:val="0"/>
    <w:rPr>
      <w:rFonts w:ascii="Calibri" w:hAnsi="Calibri"/>
      <w:b/>
      <w:bCs/>
      <w:kern w:val="2"/>
      <w:sz w:val="32"/>
      <w:szCs w:val="32"/>
    </w:rPr>
  </w:style>
  <w:style w:type="character" w:customStyle="1" w:styleId="30">
    <w:name w:val="font21"/>
    <w:qFormat/>
    <w:uiPriority w:val="0"/>
    <w:rPr>
      <w:rFonts w:hint="default" w:ascii="Times New Roman" w:hAnsi="Times New Roman" w:cs="Times New Roman"/>
      <w:color w:val="000000"/>
      <w:sz w:val="22"/>
      <w:szCs w:val="22"/>
      <w:u w:val="none"/>
    </w:rPr>
  </w:style>
  <w:style w:type="character" w:customStyle="1" w:styleId="31">
    <w:name w:val="font11"/>
    <w:qFormat/>
    <w:uiPriority w:val="0"/>
    <w:rPr>
      <w:rFonts w:hint="eastAsia" w:ascii="宋体" w:hAnsi="宋体" w:eastAsia="宋体" w:cs="宋体"/>
      <w:color w:val="000000"/>
      <w:sz w:val="22"/>
      <w:szCs w:val="22"/>
      <w:u w:val="none"/>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3">
    <w:name w:val="Default"/>
    <w:unhideWhenUsed/>
    <w:qFormat/>
    <w:uiPriority w:val="99"/>
    <w:pPr>
      <w:widowControl w:val="0"/>
      <w:autoSpaceDE w:val="0"/>
      <w:autoSpaceDN w:val="0"/>
      <w:adjustRightInd w:val="0"/>
    </w:pPr>
    <w:rPr>
      <w:rFonts w:ascii="仿宋" w:hAnsi="仿宋" w:eastAsia="仿宋" w:cs="Times New Roman"/>
      <w:color w:val="000000"/>
      <w:sz w:val="24"/>
      <w:lang w:val="en-US" w:eastAsia="zh-CN" w:bidi="ar-SA"/>
    </w:rPr>
  </w:style>
  <w:style w:type="character" w:customStyle="1" w:styleId="34">
    <w:name w:val="页脚 Char"/>
    <w:link w:val="12"/>
    <w:qFormat/>
    <w:uiPriority w:val="99"/>
    <w:rPr>
      <w:rFonts w:ascii="Calibri" w:hAnsi="Calibri"/>
      <w:kern w:val="2"/>
      <w:sz w:val="18"/>
      <w:szCs w:val="24"/>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表头图示"/>
    <w:basedOn w:val="1"/>
    <w:next w:val="1"/>
    <w:qFormat/>
    <w:uiPriority w:val="0"/>
    <w:pPr>
      <w:spacing w:beforeLines="10" w:afterLines="10"/>
      <w:jc w:val="center"/>
    </w:pPr>
    <w:rPr>
      <w:rFonts w:ascii="Times New Roman" w:hAnsi="Times New Roman" w:eastAsia="黑体"/>
      <w:b/>
      <w:sz w:val="18"/>
    </w:rPr>
  </w:style>
  <w:style w:type="paragraph" w:customStyle="1" w:styleId="37">
    <w:name w:val="1级"/>
    <w:next w:val="1"/>
    <w:link w:val="38"/>
    <w:qFormat/>
    <w:uiPriority w:val="0"/>
    <w:pPr>
      <w:spacing w:beforeLines="150" w:afterLines="150" w:line="560" w:lineRule="exact"/>
      <w:outlineLvl w:val="0"/>
    </w:pPr>
    <w:rPr>
      <w:rFonts w:ascii="幼圆" w:hAnsi="幼圆" w:eastAsia="幼圆" w:cs="Times New Roman"/>
      <w:b/>
      <w:color w:val="CC0000"/>
      <w:sz w:val="36"/>
      <w:lang w:val="en-US" w:eastAsia="zh-CN" w:bidi="ar-SA"/>
    </w:rPr>
  </w:style>
  <w:style w:type="character" w:customStyle="1" w:styleId="38">
    <w:name w:val="1级 Char"/>
    <w:basedOn w:val="25"/>
    <w:link w:val="37"/>
    <w:qFormat/>
    <w:uiPriority w:val="0"/>
    <w:rPr>
      <w:rFonts w:ascii="幼圆" w:hAnsi="幼圆" w:eastAsia="幼圆"/>
      <w:b/>
      <w:color w:val="CC0000"/>
      <w:sz w:val="36"/>
    </w:rPr>
  </w:style>
  <w:style w:type="character" w:customStyle="1" w:styleId="39">
    <w:name w:val="日期 Char"/>
    <w:link w:val="10"/>
    <w:qFormat/>
    <w:uiPriority w:val="0"/>
    <w:rPr>
      <w:rFonts w:ascii="Calibri" w:hAnsi="Calibri"/>
      <w:kern w:val="2"/>
      <w:sz w:val="21"/>
      <w:szCs w:val="24"/>
    </w:rPr>
  </w:style>
  <w:style w:type="character" w:customStyle="1" w:styleId="40">
    <w:name w:val="批注框文本 Char"/>
    <w:link w:val="11"/>
    <w:qFormat/>
    <w:uiPriority w:val="0"/>
    <w:rPr>
      <w:rFonts w:ascii="Calibri" w:hAnsi="Calibri"/>
      <w:kern w:val="2"/>
      <w:sz w:val="18"/>
      <w:szCs w:val="18"/>
    </w:rPr>
  </w:style>
  <w:style w:type="table" w:customStyle="1" w:styleId="41">
    <w:name w:val="网格型1"/>
    <w:basedOn w:val="20"/>
    <w:qFormat/>
    <w:uiPriority w:val="39"/>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
    <w:name w:val="网格型2"/>
    <w:basedOn w:val="20"/>
    <w:qFormat/>
    <w:uiPriority w:val="39"/>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3">
    <w:name w:val="网格型3"/>
    <w:basedOn w:val="20"/>
    <w:qFormat/>
    <w:uiPriority w:val="39"/>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4">
    <w:name w:val="样式1"/>
    <w:basedOn w:val="37"/>
    <w:link w:val="45"/>
    <w:qFormat/>
    <w:uiPriority w:val="0"/>
    <w:pPr>
      <w:tabs>
        <w:tab w:val="left" w:pos="7755"/>
      </w:tabs>
      <w:spacing w:before="468" w:afterLines="100"/>
    </w:pPr>
    <w:rPr>
      <w:color w:val="C00000"/>
      <w:szCs w:val="22"/>
    </w:rPr>
  </w:style>
  <w:style w:type="character" w:customStyle="1" w:styleId="45">
    <w:name w:val="样式1 Char"/>
    <w:basedOn w:val="38"/>
    <w:link w:val="44"/>
    <w:qFormat/>
    <w:uiPriority w:val="0"/>
    <w:rPr>
      <w:rFonts w:ascii="幼圆" w:hAnsi="幼圆" w:eastAsia="幼圆"/>
      <w:color w:val="C00000"/>
      <w:sz w:val="36"/>
      <w:szCs w:val="22"/>
    </w:rPr>
  </w:style>
  <w:style w:type="paragraph" w:customStyle="1" w:styleId="46">
    <w:name w:val="样式2"/>
    <w:basedOn w:val="1"/>
    <w:link w:val="47"/>
    <w:qFormat/>
    <w:uiPriority w:val="0"/>
    <w:pPr>
      <w:spacing w:beforeLines="50" w:afterLines="50" w:line="560" w:lineRule="exact"/>
      <w:jc w:val="left"/>
      <w:outlineLvl w:val="1"/>
    </w:pPr>
    <w:rPr>
      <w:rFonts w:ascii="隶书" w:hAnsi="隶书" w:eastAsia="隶书" w:cs="隶书"/>
      <w:color w:val="000000"/>
      <w:sz w:val="36"/>
      <w:szCs w:val="36"/>
    </w:rPr>
  </w:style>
  <w:style w:type="character" w:customStyle="1" w:styleId="47">
    <w:name w:val="样式2 Char"/>
    <w:basedOn w:val="25"/>
    <w:link w:val="46"/>
    <w:qFormat/>
    <w:uiPriority w:val="0"/>
    <w:rPr>
      <w:rFonts w:ascii="隶书" w:hAnsi="隶书" w:eastAsia="隶书" w:cs="隶书"/>
      <w:color w:val="000000"/>
      <w:kern w:val="2"/>
      <w:sz w:val="36"/>
      <w:szCs w:val="36"/>
    </w:rPr>
  </w:style>
  <w:style w:type="paragraph" w:customStyle="1" w:styleId="48">
    <w:name w:val="样式3"/>
    <w:basedOn w:val="1"/>
    <w:link w:val="49"/>
    <w:qFormat/>
    <w:uiPriority w:val="0"/>
    <w:pPr>
      <w:spacing w:beforeLines="25" w:afterLines="25" w:line="560" w:lineRule="exact"/>
      <w:ind w:firstLine="562" w:firstLineChars="200"/>
      <w:jc w:val="left"/>
      <w:outlineLvl w:val="2"/>
    </w:pPr>
    <w:rPr>
      <w:rFonts w:ascii="楷体" w:hAnsi="楷体" w:eastAsia="楷体" w:cs="楷体"/>
      <w:b/>
      <w:bCs/>
      <w:color w:val="000000"/>
      <w:sz w:val="28"/>
      <w:szCs w:val="28"/>
    </w:rPr>
  </w:style>
  <w:style w:type="character" w:customStyle="1" w:styleId="49">
    <w:name w:val="样式3 Char"/>
    <w:basedOn w:val="25"/>
    <w:link w:val="48"/>
    <w:qFormat/>
    <w:uiPriority w:val="0"/>
    <w:rPr>
      <w:rFonts w:ascii="楷体" w:hAnsi="楷体" w:eastAsia="楷体" w:cs="楷体"/>
      <w:b/>
      <w:bCs/>
      <w:color w:val="000000"/>
      <w:kern w:val="2"/>
      <w:sz w:val="28"/>
      <w:szCs w:val="28"/>
    </w:rPr>
  </w:style>
  <w:style w:type="paragraph" w:customStyle="1" w:styleId="50">
    <w:name w:val="样式4正文"/>
    <w:basedOn w:val="1"/>
    <w:link w:val="51"/>
    <w:qFormat/>
    <w:uiPriority w:val="0"/>
    <w:pPr>
      <w:spacing w:line="600" w:lineRule="exact"/>
      <w:ind w:firstLine="560" w:firstLineChars="200"/>
    </w:pPr>
    <w:rPr>
      <w:rFonts w:ascii="仿宋_GB2312" w:hAnsi="仿宋_GB2312" w:eastAsia="仿宋_GB2312" w:cs="仿宋_GB2312"/>
      <w:color w:val="000000"/>
      <w:sz w:val="28"/>
      <w:szCs w:val="28"/>
    </w:rPr>
  </w:style>
  <w:style w:type="character" w:customStyle="1" w:styleId="51">
    <w:name w:val="样式4正文 Char"/>
    <w:basedOn w:val="25"/>
    <w:link w:val="50"/>
    <w:qFormat/>
    <w:uiPriority w:val="0"/>
    <w:rPr>
      <w:rFonts w:ascii="仿宋_GB2312" w:hAnsi="仿宋_GB2312" w:eastAsia="仿宋_GB2312" w:cs="仿宋_GB2312"/>
      <w:color w:val="000000"/>
      <w:kern w:val="2"/>
      <w:sz w:val="28"/>
      <w:szCs w:val="28"/>
    </w:rPr>
  </w:style>
  <w:style w:type="paragraph" w:customStyle="1" w:styleId="52">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3">
    <w:name w:val="font51"/>
    <w:qFormat/>
    <w:uiPriority w:val="0"/>
    <w:rPr>
      <w:rFonts w:hint="default" w:ascii="Times New Roman" w:hAnsi="Times New Roman" w:cs="Times New Roman"/>
      <w:color w:val="000000"/>
      <w:sz w:val="24"/>
      <w:szCs w:val="24"/>
      <w:u w:val="none"/>
    </w:rPr>
  </w:style>
  <w:style w:type="character" w:customStyle="1" w:styleId="54">
    <w:name w:val="font01"/>
    <w:basedOn w:val="25"/>
    <w:qFormat/>
    <w:uiPriority w:val="0"/>
    <w:rPr>
      <w:rFonts w:ascii="Wingdings 2" w:hAnsi="Wingdings 2" w:eastAsia="Wingdings 2" w:cs="Wingdings 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chart" Target="charts/chart8.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istrator\Desktop\&#25509;&#25910;&#25968;&#25454;&#26448;&#26009;%20&#21021;&#31295;\&#22270;&#20363;%20&#21021;&#31295;\&#22270;2-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2019\2019&#36136;&#37327;&#25253;&#21578;\&#32454;&#33410;&#24615;&#25968;&#25454;\&#22686;&#21152;&#22270;&#29255;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5509;&#25910;&#25968;&#25454;&#26448;&#26009;%20&#21021;&#31295;\&#22270;&#20363;%20&#21021;&#31295;\&#2227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5913;&#2227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2019\2019&#36136;&#37327;&#25253;&#21578;\&#32454;&#33410;&#24615;&#25968;&#25454;\1-6.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25509;&#25910;&#25968;&#25454;&#26448;&#26009;%20&#21021;&#31295;\&#22270;&#20363;%20&#21021;&#31295;\&#2227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19\2019&#36136;&#37327;&#25253;&#21578;\&#32454;&#33410;&#24615;&#25968;&#25454;\&#22686;&#21152;&#22270;&#29255;23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5509;&#25910;&#25968;&#25454;&#26448;&#26009;%20&#21021;&#31295;\&#22270;&#20363;%20&#21021;&#31295;\&#2227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21437777534"/>
          <c:y val="0.11933129377936"/>
          <c:w val="0.878778562222467"/>
          <c:h val="0.667302153495876"/>
        </c:manualLayout>
      </c:layout>
      <c:barChart>
        <c:barDir val="col"/>
        <c:grouping val="clustered"/>
        <c:varyColors val="0"/>
        <c:ser>
          <c:idx val="0"/>
          <c:order val="0"/>
          <c:tx>
            <c:strRef>
              <c:f>'[图2-2.xlsx]Sheet1'!$B$73</c:f>
              <c:strCache>
                <c:ptCount val="1"/>
                <c:pt idx="0">
                  <c:v>心理健康普查合格率</c:v>
                </c:pt>
              </c:strCache>
            </c:strRef>
          </c:tx>
          <c:invertIfNegative val="0"/>
          <c:dLbls>
            <c:dLbl>
              <c:idx val="0"/>
              <c:layout>
                <c:manualLayout>
                  <c:x val="-0.0159045725646125"/>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507620941020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59045725646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'[图2-2.xlsx]Sheet1'!$C$72:$E$72</c:f>
              <c:strCache>
                <c:ptCount val="3"/>
                <c:pt idx="0">
                  <c:v>2017年</c:v>
                </c:pt>
                <c:pt idx="1">
                  <c:v>2018年</c:v>
                </c:pt>
                <c:pt idx="2">
                  <c:v>2019年</c:v>
                </c:pt>
              </c:strCache>
            </c:strRef>
          </c:cat>
          <c:val>
            <c:numRef>
              <c:f>'[图2-2.xlsx]Sheet1'!$C$73:$E$73</c:f>
              <c:numCache>
                <c:formatCode>0.00%</c:formatCode>
                <c:ptCount val="3"/>
                <c:pt idx="0">
                  <c:v>0.9235</c:v>
                </c:pt>
                <c:pt idx="1">
                  <c:v>0.928700000000002</c:v>
                </c:pt>
                <c:pt idx="2">
                  <c:v>0.9321</c:v>
                </c:pt>
              </c:numCache>
            </c:numRef>
          </c:val>
        </c:ser>
        <c:ser>
          <c:idx val="1"/>
          <c:order val="1"/>
          <c:tx>
            <c:strRef>
              <c:f>'[图2-2.xlsx]Sheet1'!$B$74</c:f>
              <c:strCache>
                <c:ptCount val="1"/>
                <c:pt idx="0">
                  <c:v>体质健康测试合格率</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'[图2-2.xlsx]Sheet1'!$C$72:$E$72</c:f>
              <c:strCache>
                <c:ptCount val="3"/>
                <c:pt idx="0">
                  <c:v>2017年</c:v>
                </c:pt>
                <c:pt idx="1">
                  <c:v>2018年</c:v>
                </c:pt>
                <c:pt idx="2">
                  <c:v>2019年</c:v>
                </c:pt>
              </c:strCache>
            </c:strRef>
          </c:cat>
          <c:val>
            <c:numRef>
              <c:f>'[图2-2.xlsx]Sheet1'!$C$74:$E$74</c:f>
              <c:numCache>
                <c:formatCode>0.00%</c:formatCode>
                <c:ptCount val="3"/>
                <c:pt idx="0">
                  <c:v>0.9583</c:v>
                </c:pt>
                <c:pt idx="1">
                  <c:v>0.955100000000001</c:v>
                </c:pt>
                <c:pt idx="2">
                  <c:v>0.958800000000002</c:v>
                </c:pt>
              </c:numCache>
            </c:numRef>
          </c:val>
        </c:ser>
        <c:dLbls>
          <c:showLegendKey val="0"/>
          <c:showVal val="1"/>
          <c:showCatName val="0"/>
          <c:showSerName val="0"/>
          <c:showPercent val="0"/>
          <c:showBubbleSize val="0"/>
        </c:dLbls>
        <c:gapWidth val="150"/>
        <c:axId val="152678784"/>
        <c:axId val="152680320"/>
      </c:barChart>
      <c:catAx>
        <c:axId val="15267878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680320"/>
        <c:crosses val="autoZero"/>
        <c:auto val="1"/>
        <c:lblAlgn val="ctr"/>
        <c:lblOffset val="100"/>
        <c:noMultiLvlLbl val="0"/>
      </c:catAx>
      <c:valAx>
        <c:axId val="15268032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678784"/>
        <c:crosses val="autoZero"/>
        <c:crossBetween val="between"/>
      </c:valAx>
    </c:plotArea>
    <c:legend>
      <c:legendPos val="b"/>
      <c:layout>
        <c:manualLayout>
          <c:xMode val="edge"/>
          <c:yMode val="edge"/>
          <c:x val="0.17877699681178"/>
          <c:y val="0.90890389906081"/>
          <c:w val="0.642446006376441"/>
          <c:h val="0.087146570534104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9514455916438"/>
          <c:y val="0.116215368912219"/>
          <c:w val="0.86701414249259"/>
          <c:h val="0.611346602508023"/>
        </c:manualLayout>
      </c:layout>
      <c:lineChart>
        <c:grouping val="standard"/>
        <c:varyColors val="0"/>
        <c:ser>
          <c:idx val="0"/>
          <c:order val="0"/>
          <c:tx>
            <c:strRef>
              <c:f>[增加图片3.xlsx]Sheet1!$D$92</c:f>
              <c:strCache>
                <c:ptCount val="1"/>
                <c:pt idx="0">
                  <c:v>湖南省高职院毕业生就业率</c:v>
                </c:pt>
              </c:strCache>
            </c:strRef>
          </c:tx>
          <c:dLbls>
            <c:dLbl>
              <c:idx val="0"/>
              <c:layout>
                <c:manualLayout>
                  <c:x val="-0.0328710837185414"/>
                  <c:y val="-0.0555555555555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67077555213149"/>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5444273240883"/>
                  <c:y val="0.0694444444444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67077555213149"/>
                  <c:y val="-0.04629629629629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46533127889061"/>
                  <c:y val="0.05092592592592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3810991268618"/>
                  <c:y val="0.03703703703703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[增加图片3.xlsx]Sheet1!$E$91:$J$91</c:f>
              <c:strCache>
                <c:ptCount val="6"/>
                <c:pt idx="0">
                  <c:v>2014届</c:v>
                </c:pt>
                <c:pt idx="1">
                  <c:v>2015届</c:v>
                </c:pt>
                <c:pt idx="2">
                  <c:v>2016届</c:v>
                </c:pt>
                <c:pt idx="3">
                  <c:v>2017届</c:v>
                </c:pt>
                <c:pt idx="4">
                  <c:v>2018届</c:v>
                </c:pt>
                <c:pt idx="5">
                  <c:v>2019届</c:v>
                </c:pt>
              </c:strCache>
            </c:strRef>
          </c:cat>
          <c:val>
            <c:numRef>
              <c:f>[增加图片3.xlsx]Sheet1!$E$92:$J$92</c:f>
              <c:numCache>
                <c:formatCode>0.00%</c:formatCode>
                <c:ptCount val="6"/>
                <c:pt idx="0">
                  <c:v>0.872900000000001</c:v>
                </c:pt>
                <c:pt idx="1">
                  <c:v>0.8993</c:v>
                </c:pt>
                <c:pt idx="2">
                  <c:v>0.9105</c:v>
                </c:pt>
                <c:pt idx="3">
                  <c:v>0.927</c:v>
                </c:pt>
                <c:pt idx="4">
                  <c:v>0.8812</c:v>
                </c:pt>
                <c:pt idx="5">
                  <c:v>0.8614</c:v>
                </c:pt>
              </c:numCache>
            </c:numRef>
          </c:val>
          <c:smooth val="0"/>
        </c:ser>
        <c:ser>
          <c:idx val="1"/>
          <c:order val="1"/>
          <c:tx>
            <c:strRef>
              <c:f>[增加图片3.xlsx]Sheet1!$D$93</c:f>
              <c:strCache>
                <c:ptCount val="1"/>
                <c:pt idx="0">
                  <c:v>本校就业率</c:v>
                </c:pt>
              </c:strCache>
            </c:strRef>
          </c:tx>
          <c:dLbls>
            <c:dLbl>
              <c:idx val="0"/>
              <c:layout>
                <c:manualLayout>
                  <c:x val="-0.014381099126861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84899845916795"/>
                  <c:y val="0.0555555555555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49255264509502"/>
                  <c:y val="-0.05092592592592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67077555213149"/>
                  <c:y val="0.0555555555555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0816640986132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46533127889061"/>
                  <c:y val="-0.05555555555555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[增加图片3.xlsx]Sheet1!$E$91:$J$91</c:f>
              <c:strCache>
                <c:ptCount val="6"/>
                <c:pt idx="0">
                  <c:v>2014届</c:v>
                </c:pt>
                <c:pt idx="1">
                  <c:v>2015届</c:v>
                </c:pt>
                <c:pt idx="2">
                  <c:v>2016届</c:v>
                </c:pt>
                <c:pt idx="3">
                  <c:v>2017届</c:v>
                </c:pt>
                <c:pt idx="4">
                  <c:v>2018届</c:v>
                </c:pt>
                <c:pt idx="5">
                  <c:v>2019届</c:v>
                </c:pt>
              </c:strCache>
            </c:strRef>
          </c:cat>
          <c:val>
            <c:numRef>
              <c:f>[增加图片3.xlsx]Sheet1!$E$93:$J$93</c:f>
              <c:numCache>
                <c:formatCode>0.00%</c:formatCode>
                <c:ptCount val="6"/>
                <c:pt idx="0">
                  <c:v>0.8425</c:v>
                </c:pt>
                <c:pt idx="1">
                  <c:v>0.8846</c:v>
                </c:pt>
                <c:pt idx="2">
                  <c:v>0.917800000000001</c:v>
                </c:pt>
                <c:pt idx="3">
                  <c:v>0.9202</c:v>
                </c:pt>
                <c:pt idx="4">
                  <c:v>0.8978</c:v>
                </c:pt>
                <c:pt idx="5">
                  <c:v>0.8944</c:v>
                </c:pt>
              </c:numCache>
            </c:numRef>
          </c:val>
          <c:smooth val="0"/>
        </c:ser>
        <c:dLbls>
          <c:showLegendKey val="0"/>
          <c:showVal val="1"/>
          <c:showCatName val="0"/>
          <c:showSerName val="0"/>
          <c:showPercent val="0"/>
          <c:showBubbleSize val="0"/>
        </c:dLbls>
        <c:marker val="1"/>
        <c:smooth val="0"/>
        <c:axId val="152945024"/>
        <c:axId val="152946560"/>
      </c:lineChart>
      <c:catAx>
        <c:axId val="15294502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946560"/>
        <c:crosses val="autoZero"/>
        <c:auto val="1"/>
        <c:lblAlgn val="ctr"/>
        <c:lblOffset val="100"/>
        <c:noMultiLvlLbl val="0"/>
      </c:catAx>
      <c:valAx>
        <c:axId val="15294656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945024"/>
        <c:crosses val="autoZero"/>
        <c:crossBetween val="between"/>
      </c:valAx>
    </c:plotArea>
    <c:legend>
      <c:legendPos val="b"/>
      <c:layout>
        <c:manualLayout>
          <c:xMode val="edge"/>
          <c:yMode val="edge"/>
          <c:x val="0.198407725998811"/>
          <c:y val="0.879189421400509"/>
          <c:w val="0.537442218798151"/>
          <c:h val="0.083572085941477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000" b="0"/>
              <a:t>对口就业率</a:t>
            </a:r>
            <a:r>
              <a:rPr lang="en-US" sz="1000" b="0"/>
              <a:t>/%</a:t>
            </a:r>
            <a:endParaRPr lang="zh-CN" sz="1000" b="0"/>
          </a:p>
        </c:rich>
      </c:tx>
      <c:layout>
        <c:manualLayout>
          <c:xMode val="edge"/>
          <c:yMode val="edge"/>
          <c:x val="0.011017060367454"/>
          <c:y val="0.0383386581469649"/>
        </c:manualLayout>
      </c:layout>
      <c:overlay val="0"/>
    </c:title>
    <c:autoTitleDeleted val="0"/>
    <c:plotArea>
      <c:layout>
        <c:manualLayout>
          <c:layoutTarget val="inner"/>
          <c:xMode val="edge"/>
          <c:yMode val="edge"/>
          <c:x val="0.114613699603339"/>
          <c:y val="0.149110449031709"/>
          <c:w val="0.867842440747538"/>
          <c:h val="0.64887777541321"/>
        </c:manualLayout>
      </c:layout>
      <c:lineChart>
        <c:grouping val="standard"/>
        <c:varyColors val="0"/>
        <c:ser>
          <c:idx val="0"/>
          <c:order val="0"/>
          <c:tx>
            <c:strRef>
              <c:f>'[图2-2.xlsx]Sheet1'!$B$98</c:f>
              <c:strCache>
                <c:ptCount val="1"/>
                <c:pt idx="0">
                  <c:v>毕业生对口就业率</c:v>
                </c:pt>
              </c:strCache>
            </c:strRef>
          </c:tx>
          <c:dLbls>
            <c:dLbl>
              <c:idx val="0"/>
              <c:layout>
                <c:manualLayout>
                  <c:x val="-0.0661764705882353"/>
                  <c:y val="-0.08093716719914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2941176470589"/>
                  <c:y val="-0.038338658146964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84313725490196"/>
                  <c:y val="-0.085197018104366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12745098039216"/>
                  <c:y val="-0.04685835995740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735294117647059"/>
                  <c:y val="-0.055378061767838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'[图2-2.xlsx]Sheet1'!$C$97:$G$97</c:f>
              <c:strCache>
                <c:ptCount val="5"/>
                <c:pt idx="0">
                  <c:v>2015届</c:v>
                </c:pt>
                <c:pt idx="1">
                  <c:v>2016届</c:v>
                </c:pt>
                <c:pt idx="2">
                  <c:v>2017届</c:v>
                </c:pt>
                <c:pt idx="3">
                  <c:v>2018届</c:v>
                </c:pt>
                <c:pt idx="4">
                  <c:v>2019届</c:v>
                </c:pt>
              </c:strCache>
            </c:strRef>
          </c:cat>
          <c:val>
            <c:numRef>
              <c:f>'[图2-2.xlsx]Sheet1'!$C$98:$G$98</c:f>
              <c:numCache>
                <c:formatCode>0.00%</c:formatCode>
                <c:ptCount val="5"/>
                <c:pt idx="0">
                  <c:v>0.672800000000007</c:v>
                </c:pt>
                <c:pt idx="1">
                  <c:v>0.721800000000003</c:v>
                </c:pt>
                <c:pt idx="2">
                  <c:v>0.750300000000002</c:v>
                </c:pt>
                <c:pt idx="3">
                  <c:v>0.762000000000003</c:v>
                </c:pt>
                <c:pt idx="4">
                  <c:v>0.761500000000001</c:v>
                </c:pt>
              </c:numCache>
            </c:numRef>
          </c:val>
          <c:smooth val="0"/>
        </c:ser>
        <c:dLbls>
          <c:showLegendKey val="0"/>
          <c:showVal val="1"/>
          <c:showCatName val="0"/>
          <c:showSerName val="0"/>
          <c:showPercent val="0"/>
          <c:showBubbleSize val="0"/>
        </c:dLbls>
        <c:marker val="1"/>
        <c:smooth val="0"/>
        <c:axId val="153073152"/>
        <c:axId val="153074688"/>
      </c:lineChart>
      <c:catAx>
        <c:axId val="15307315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3074688"/>
        <c:crosses val="autoZero"/>
        <c:auto val="1"/>
        <c:lblAlgn val="ctr"/>
        <c:lblOffset val="100"/>
        <c:noMultiLvlLbl val="0"/>
      </c:catAx>
      <c:valAx>
        <c:axId val="15307468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3073152"/>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sz="1000" b="0"/>
              <a:t>收入</a:t>
            </a:r>
            <a:r>
              <a:rPr lang="en-US" sz="1000" b="0"/>
              <a:t>/</a:t>
            </a:r>
            <a:r>
              <a:rPr lang="zh-CN" sz="1000" b="0"/>
              <a:t>元</a:t>
            </a:r>
            <a:endParaRPr lang="zh-CN" sz="1000" b="0"/>
          </a:p>
        </c:rich>
      </c:tx>
      <c:layout>
        <c:manualLayout>
          <c:xMode val="edge"/>
          <c:yMode val="edge"/>
          <c:x val="0.0251944444444444"/>
          <c:y val="0.027777777777778"/>
        </c:manualLayout>
      </c:layout>
      <c:overlay val="0"/>
    </c:title>
    <c:autoTitleDeleted val="0"/>
    <c:plotArea>
      <c:layout>
        <c:manualLayout>
          <c:layoutTarget val="inner"/>
          <c:xMode val="edge"/>
          <c:yMode val="edge"/>
          <c:x val="0.109012325840222"/>
          <c:y val="0.165305965967737"/>
          <c:w val="0.878940846679886"/>
          <c:h val="0.620728420183435"/>
        </c:manualLayout>
      </c:layout>
      <c:barChart>
        <c:barDir val="col"/>
        <c:grouping val="clustered"/>
        <c:varyColors val="0"/>
        <c:ser>
          <c:idx val="0"/>
          <c:order val="0"/>
          <c:tx>
            <c:strRef>
              <c:f>'[图2-2.xlsx]Sheet1'!$B$122</c:f>
              <c:strCache>
                <c:ptCount val="1"/>
                <c:pt idx="0">
                  <c:v>毕业生就业起薪点</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'[图2-2.xlsx]Sheet1'!$C$121:$G$121</c:f>
              <c:strCache>
                <c:ptCount val="5"/>
                <c:pt idx="0">
                  <c:v>2015届</c:v>
                </c:pt>
                <c:pt idx="1">
                  <c:v>2016届</c:v>
                </c:pt>
                <c:pt idx="2">
                  <c:v>2017届</c:v>
                </c:pt>
                <c:pt idx="3">
                  <c:v>2018届</c:v>
                </c:pt>
                <c:pt idx="4">
                  <c:v>2019届</c:v>
                </c:pt>
              </c:strCache>
            </c:strRef>
          </c:cat>
          <c:val>
            <c:numRef>
              <c:f>'[图2-2.xlsx]Sheet1'!$C$122:$G$122</c:f>
              <c:numCache>
                <c:formatCode>General</c:formatCode>
                <c:ptCount val="5"/>
                <c:pt idx="0">
                  <c:v>2747</c:v>
                </c:pt>
                <c:pt idx="1">
                  <c:v>3153</c:v>
                </c:pt>
                <c:pt idx="2">
                  <c:v>3453</c:v>
                </c:pt>
                <c:pt idx="3">
                  <c:v>3599</c:v>
                </c:pt>
                <c:pt idx="4">
                  <c:v>3424.09</c:v>
                </c:pt>
              </c:numCache>
            </c:numRef>
          </c:val>
        </c:ser>
        <c:dLbls>
          <c:showLegendKey val="0"/>
          <c:showVal val="1"/>
          <c:showCatName val="0"/>
          <c:showSerName val="0"/>
          <c:showPercent val="0"/>
          <c:showBubbleSize val="0"/>
        </c:dLbls>
        <c:gapWidth val="150"/>
        <c:axId val="154668032"/>
        <c:axId val="154698496"/>
      </c:barChart>
      <c:catAx>
        <c:axId val="1546680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4698496"/>
        <c:crosses val="autoZero"/>
        <c:auto val="1"/>
        <c:lblAlgn val="ctr"/>
        <c:lblOffset val="100"/>
        <c:noMultiLvlLbl val="0"/>
      </c:catAx>
      <c:valAx>
        <c:axId val="1546984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4668032"/>
        <c:crosses val="autoZero"/>
        <c:crossBetween val="between"/>
      </c:valAx>
    </c:plotArea>
    <c:legend>
      <c:legendPos val="r"/>
      <c:layout>
        <c:manualLayout>
          <c:xMode val="edge"/>
          <c:yMode val="edge"/>
          <c:x val="0.396494456050137"/>
          <c:y val="0.909250103088735"/>
          <c:w val="0.293225965801895"/>
          <c:h val="0.090301689816862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13517060367"/>
          <c:y val="0.13507461035937"/>
          <c:w val="0.850553149606299"/>
          <c:h val="0.715443491466068"/>
        </c:manualLayout>
      </c:layout>
      <c:lineChart>
        <c:grouping val="standard"/>
        <c:varyColors val="0"/>
        <c:ser>
          <c:idx val="0"/>
          <c:order val="0"/>
          <c:tx>
            <c:strRef>
              <c:f>'[1-6.xlsx]Sheet1'!$B$5</c:f>
              <c:strCache>
                <c:ptCount val="1"/>
                <c:pt idx="0">
                  <c:v>毕业生母校满意度</c:v>
                </c:pt>
              </c:strCache>
            </c:strRef>
          </c:tx>
          <c:dLbls>
            <c:dLbl>
              <c:idx val="0"/>
              <c:layout>
                <c:manualLayout>
                  <c:x val="-0.05"/>
                  <c:y val="-0.065416055505780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66666666666667"/>
                  <c:y val="-0.0384800326504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11544009795137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'[1-6.xlsx]Sheet1'!$C$4:$E$4</c:f>
              <c:strCache>
                <c:ptCount val="3"/>
                <c:pt idx="0">
                  <c:v>2017届</c:v>
                </c:pt>
                <c:pt idx="1">
                  <c:v>2018届</c:v>
                </c:pt>
                <c:pt idx="2">
                  <c:v>2019届</c:v>
                </c:pt>
              </c:strCache>
            </c:strRef>
          </c:cat>
          <c:val>
            <c:numRef>
              <c:f>'[1-6.xlsx]Sheet1'!$C$5:$E$5</c:f>
              <c:numCache>
                <c:formatCode>0.00%</c:formatCode>
                <c:ptCount val="3"/>
                <c:pt idx="0">
                  <c:v>0.945000000000001</c:v>
                </c:pt>
                <c:pt idx="1">
                  <c:v>0.9495</c:v>
                </c:pt>
                <c:pt idx="2">
                  <c:v>0.935600000000001</c:v>
                </c:pt>
              </c:numCache>
            </c:numRef>
          </c:val>
          <c:smooth val="0"/>
        </c:ser>
        <c:ser>
          <c:idx val="1"/>
          <c:order val="1"/>
          <c:tx>
            <c:strRef>
              <c:f>'[1-6.xlsx]Sheet1'!$B$6</c:f>
              <c:strCache>
                <c:ptCount val="1"/>
                <c:pt idx="0">
                  <c:v>毕业生雇主满意度</c:v>
                </c:pt>
              </c:strCache>
            </c:strRef>
          </c:tx>
          <c:dLbls>
            <c:dLbl>
              <c:idx val="0"/>
              <c:layout>
                <c:manualLayout>
                  <c:x val="-0.0194444444444444"/>
                  <c:y val="-0.03463202938541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
                  <c:y val="-0.065416055505780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611111111111111"/>
                  <c:y val="-0.0461760391805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'[1-6.xlsx]Sheet1'!$C$4:$E$4</c:f>
              <c:strCache>
                <c:ptCount val="3"/>
                <c:pt idx="0">
                  <c:v>2017届</c:v>
                </c:pt>
                <c:pt idx="1">
                  <c:v>2018届</c:v>
                </c:pt>
                <c:pt idx="2">
                  <c:v>2019届</c:v>
                </c:pt>
              </c:strCache>
            </c:strRef>
          </c:cat>
          <c:val>
            <c:numRef>
              <c:f>'[1-6.xlsx]Sheet1'!$C$6:$E$6</c:f>
              <c:numCache>
                <c:formatCode>0.00%</c:formatCode>
                <c:ptCount val="3"/>
                <c:pt idx="0">
                  <c:v>0.991</c:v>
                </c:pt>
                <c:pt idx="1">
                  <c:v>0.9857</c:v>
                </c:pt>
                <c:pt idx="2">
                  <c:v>0.9802</c:v>
                </c:pt>
              </c:numCache>
            </c:numRef>
          </c:val>
          <c:smooth val="0"/>
        </c:ser>
        <c:dLbls>
          <c:showLegendKey val="0"/>
          <c:showVal val="1"/>
          <c:showCatName val="0"/>
          <c:showSerName val="0"/>
          <c:showPercent val="0"/>
          <c:showBubbleSize val="0"/>
        </c:dLbls>
        <c:marker val="1"/>
        <c:smooth val="0"/>
        <c:axId val="155125632"/>
        <c:axId val="155127168"/>
      </c:lineChart>
      <c:catAx>
        <c:axId val="1551256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127168"/>
        <c:crosses val="autoZero"/>
        <c:auto val="1"/>
        <c:lblAlgn val="ctr"/>
        <c:lblOffset val="100"/>
        <c:noMultiLvlLbl val="0"/>
      </c:catAx>
      <c:valAx>
        <c:axId val="15512716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125632"/>
        <c:crosses val="autoZero"/>
        <c:crossBetween val="between"/>
      </c:valAx>
    </c:plotArea>
    <c:legend>
      <c:legendPos val="b"/>
      <c:layout>
        <c:manualLayout>
          <c:xMode val="edge"/>
          <c:yMode val="edge"/>
          <c:x val="0.27954512506031"/>
          <c:y val="0.930416890249796"/>
          <c:w val="0.558389163383332"/>
          <c:h val="0.069583109750204"/>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9873030861471"/>
          <c:y val="0.10695610965296"/>
          <c:w val="0.907012696913853"/>
          <c:h val="0.671531787693206"/>
        </c:manualLayout>
      </c:layout>
      <c:barChart>
        <c:barDir val="col"/>
        <c:grouping val="clustered"/>
        <c:varyColors val="0"/>
        <c:ser>
          <c:idx val="0"/>
          <c:order val="0"/>
          <c:tx>
            <c:strRef>
              <c:f>'[图2-2.xlsx]Sheet1'!$B$166</c:f>
              <c:strCache>
                <c:ptCount val="1"/>
                <c:pt idx="0">
                  <c:v>毕业当年月收入（元）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'[图2-2.xlsx]Sheet1'!$C$165:$F$165</c:f>
              <c:strCache>
                <c:ptCount val="4"/>
                <c:pt idx="0">
                  <c:v>2013届</c:v>
                </c:pt>
                <c:pt idx="1">
                  <c:v>2014届</c:v>
                </c:pt>
                <c:pt idx="2">
                  <c:v>2015届</c:v>
                </c:pt>
                <c:pt idx="3">
                  <c:v>2016届</c:v>
                </c:pt>
              </c:strCache>
            </c:strRef>
          </c:cat>
          <c:val>
            <c:numRef>
              <c:f>'[图2-2.xlsx]Sheet1'!$C$166:$F$166</c:f>
              <c:numCache>
                <c:formatCode>General</c:formatCode>
                <c:ptCount val="4"/>
                <c:pt idx="0">
                  <c:v>2110</c:v>
                </c:pt>
                <c:pt idx="1">
                  <c:v>2230</c:v>
                </c:pt>
                <c:pt idx="2">
                  <c:v>2432</c:v>
                </c:pt>
                <c:pt idx="3">
                  <c:v>2612</c:v>
                </c:pt>
              </c:numCache>
            </c:numRef>
          </c:val>
        </c:ser>
        <c:ser>
          <c:idx val="1"/>
          <c:order val="1"/>
          <c:tx>
            <c:strRef>
              <c:f>'[图2-2.xlsx]Sheet1'!$B$167</c:f>
              <c:strCache>
                <c:ptCount val="1"/>
                <c:pt idx="0">
                  <c:v>毕业三年后月收入（元）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'[图2-2.xlsx]Sheet1'!$C$165:$F$165</c:f>
              <c:strCache>
                <c:ptCount val="4"/>
                <c:pt idx="0">
                  <c:v>2013届</c:v>
                </c:pt>
                <c:pt idx="1">
                  <c:v>2014届</c:v>
                </c:pt>
                <c:pt idx="2">
                  <c:v>2015届</c:v>
                </c:pt>
                <c:pt idx="3">
                  <c:v>2016届</c:v>
                </c:pt>
              </c:strCache>
            </c:strRef>
          </c:cat>
          <c:val>
            <c:numRef>
              <c:f>'[图2-2.xlsx]Sheet1'!$C$167:$F$167</c:f>
              <c:numCache>
                <c:formatCode>General</c:formatCode>
                <c:ptCount val="4"/>
                <c:pt idx="0">
                  <c:v>4250</c:v>
                </c:pt>
                <c:pt idx="1">
                  <c:v>4470</c:v>
                </c:pt>
                <c:pt idx="2">
                  <c:v>3915</c:v>
                </c:pt>
                <c:pt idx="3">
                  <c:v>4119</c:v>
                </c:pt>
              </c:numCache>
            </c:numRef>
          </c:val>
        </c:ser>
        <c:dLbls>
          <c:showLegendKey val="0"/>
          <c:showVal val="1"/>
          <c:showCatName val="0"/>
          <c:showSerName val="0"/>
          <c:showPercent val="0"/>
          <c:showBubbleSize val="0"/>
        </c:dLbls>
        <c:gapWidth val="150"/>
        <c:axId val="155190016"/>
        <c:axId val="155191552"/>
      </c:barChart>
      <c:catAx>
        <c:axId val="15519001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191552"/>
        <c:crosses val="autoZero"/>
        <c:auto val="1"/>
        <c:lblAlgn val="ctr"/>
        <c:lblOffset val="100"/>
        <c:noMultiLvlLbl val="0"/>
      </c:catAx>
      <c:valAx>
        <c:axId val="155191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19001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000" b="0"/>
              <a:t>培养比例</a:t>
            </a:r>
            <a:r>
              <a:rPr lang="en-US" altLang="zh-CN" sz="1000" b="0"/>
              <a:t>/%</a:t>
            </a:r>
            <a:endParaRPr lang="zh-CN" altLang="en-US" sz="1000" b="0"/>
          </a:p>
        </c:rich>
      </c:tx>
      <c:layout>
        <c:manualLayout>
          <c:xMode val="edge"/>
          <c:yMode val="edge"/>
          <c:x val="0.0232721508275146"/>
          <c:y val="0.0256058490787224"/>
        </c:manualLayout>
      </c:layout>
      <c:overlay val="0"/>
    </c:title>
    <c:autoTitleDeleted val="0"/>
    <c:plotArea>
      <c:layout>
        <c:manualLayout>
          <c:layoutTarget val="inner"/>
          <c:xMode val="edge"/>
          <c:yMode val="edge"/>
          <c:x val="0.107526137177833"/>
          <c:y val="0.121099395226045"/>
          <c:w val="0.888545371400641"/>
          <c:h val="0.703862689378936"/>
        </c:manualLayout>
      </c:layout>
      <c:lineChart>
        <c:grouping val="standard"/>
        <c:varyColors val="0"/>
        <c:ser>
          <c:idx val="0"/>
          <c:order val="0"/>
          <c:tx>
            <c:strRef>
              <c:f>[增加图片232.xlsx]Sheet1!$B$50</c:f>
              <c:strCache>
                <c:ptCount val="1"/>
                <c:pt idx="0">
                  <c:v>订单培养比例</c:v>
                </c:pt>
              </c:strCache>
            </c:strRef>
          </c:tx>
          <c:marker>
            <c:spPr>
              <a:solidFill>
                <a:schemeClr val="accent2"/>
              </a:solidFill>
            </c:spPr>
          </c:marker>
          <c:dLbls>
            <c:dLbl>
              <c:idx val="4"/>
              <c:layout>
                <c:manualLayout>
                  <c:x val="-0.0141093448301657"/>
                  <c:y val="0.032921805958357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70256289677875"/>
                  <c:y val="-0.036583135174684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4389976220962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[增加图片232.xlsx]Sheet1!$C$49:$I$49</c:f>
              <c:strCache>
                <c:ptCount val="7"/>
                <c:pt idx="0">
                  <c:v>2013年</c:v>
                </c:pt>
                <c:pt idx="1">
                  <c:v>2014年</c:v>
                </c:pt>
                <c:pt idx="2">
                  <c:v>2015年</c:v>
                </c:pt>
                <c:pt idx="3">
                  <c:v>2016年</c:v>
                </c:pt>
                <c:pt idx="4">
                  <c:v>2017年</c:v>
                </c:pt>
                <c:pt idx="5">
                  <c:v>2018年</c:v>
                </c:pt>
                <c:pt idx="6">
                  <c:v>2019年</c:v>
                </c:pt>
              </c:strCache>
            </c:strRef>
          </c:cat>
          <c:val>
            <c:numRef>
              <c:f>[增加图片232.xlsx]Sheet1!$C$50:$I$50</c:f>
              <c:numCache>
                <c:formatCode>0.00%</c:formatCode>
                <c:ptCount val="7"/>
                <c:pt idx="0">
                  <c:v>0.1229</c:v>
                </c:pt>
                <c:pt idx="1">
                  <c:v>0.1428</c:v>
                </c:pt>
                <c:pt idx="2">
                  <c:v>0.1637</c:v>
                </c:pt>
                <c:pt idx="3">
                  <c:v>0.1903</c:v>
                </c:pt>
                <c:pt idx="4">
                  <c:v>0.236</c:v>
                </c:pt>
                <c:pt idx="5">
                  <c:v>0.2511</c:v>
                </c:pt>
                <c:pt idx="6">
                  <c:v>0.21</c:v>
                </c:pt>
              </c:numCache>
            </c:numRef>
          </c:val>
          <c:smooth val="0"/>
        </c:ser>
        <c:dLbls>
          <c:showLegendKey val="0"/>
          <c:showVal val="1"/>
          <c:showCatName val="0"/>
          <c:showSerName val="0"/>
          <c:showPercent val="0"/>
          <c:showBubbleSize val="0"/>
        </c:dLbls>
        <c:marker val="1"/>
        <c:smooth val="0"/>
        <c:axId val="155227648"/>
        <c:axId val="155229184"/>
      </c:lineChart>
      <c:catAx>
        <c:axId val="15522764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229184"/>
        <c:crosses val="autoZero"/>
        <c:auto val="1"/>
        <c:lblAlgn val="ctr"/>
        <c:lblOffset val="100"/>
        <c:noMultiLvlLbl val="0"/>
      </c:catAx>
      <c:valAx>
        <c:axId val="15522918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227648"/>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000" b="0"/>
              <a:t>到课率</a:t>
            </a:r>
            <a:r>
              <a:rPr lang="en-US" altLang="zh-CN" sz="1000" b="0"/>
              <a:t>/%</a:t>
            </a:r>
            <a:endParaRPr lang="zh-CN" altLang="en-US" sz="1000" b="0"/>
          </a:p>
        </c:rich>
      </c:tx>
      <c:layout>
        <c:manualLayout>
          <c:xMode val="edge"/>
          <c:yMode val="edge"/>
          <c:x val="0.0097082239720035"/>
          <c:y val="0.0185185185185185"/>
        </c:manualLayout>
      </c:layout>
      <c:overlay val="0"/>
    </c:title>
    <c:autoTitleDeleted val="0"/>
    <c:plotArea>
      <c:layout>
        <c:manualLayout>
          <c:layoutTarget val="inner"/>
          <c:xMode val="edge"/>
          <c:yMode val="edge"/>
          <c:x val="0.127030183727034"/>
          <c:y val="0.11158573928259"/>
          <c:w val="0.872969816272967"/>
          <c:h val="0.666902158063579"/>
        </c:manualLayout>
      </c:layout>
      <c:barChart>
        <c:barDir val="col"/>
        <c:grouping val="clustered"/>
        <c:varyColors val="0"/>
        <c:ser>
          <c:idx val="0"/>
          <c:order val="0"/>
          <c:tx>
            <c:strRef>
              <c:f>'[图2-2.xlsx]Sheet1'!$K$237</c:f>
              <c:strCache>
                <c:ptCount val="1"/>
                <c:pt idx="0">
                  <c:v>平均到课率</c:v>
                </c:pt>
              </c:strCache>
            </c:strRef>
          </c:tx>
          <c:invertIfNegative val="0"/>
          <c:dLbls>
            <c:dLbl>
              <c:idx val="2"/>
              <c:layout>
                <c:manualLayout>
                  <c:x val="-0.00277777777777779"/>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850675264161e-16"/>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'[图2-2.xlsx]Sheet1'!$L$236:$P$236</c:f>
              <c:strCache>
                <c:ptCount val="5"/>
                <c:pt idx="0">
                  <c:v>2015年</c:v>
                </c:pt>
                <c:pt idx="1">
                  <c:v>2016年</c:v>
                </c:pt>
                <c:pt idx="2">
                  <c:v>2017年</c:v>
                </c:pt>
                <c:pt idx="3">
                  <c:v>2018年</c:v>
                </c:pt>
                <c:pt idx="4">
                  <c:v>2019年</c:v>
                </c:pt>
              </c:strCache>
            </c:strRef>
          </c:cat>
          <c:val>
            <c:numRef>
              <c:f>'[图2-2.xlsx]Sheet1'!$L$237:$P$237</c:f>
              <c:numCache>
                <c:formatCode>0.00%</c:formatCode>
                <c:ptCount val="5"/>
                <c:pt idx="0">
                  <c:v>0.856600000000003</c:v>
                </c:pt>
                <c:pt idx="1">
                  <c:v>0.8833</c:v>
                </c:pt>
                <c:pt idx="2">
                  <c:v>0.905600000000001</c:v>
                </c:pt>
                <c:pt idx="3">
                  <c:v>0.945700000000001</c:v>
                </c:pt>
                <c:pt idx="4">
                  <c:v>0.950800000000001</c:v>
                </c:pt>
              </c:numCache>
            </c:numRef>
          </c:val>
        </c:ser>
        <c:dLbls>
          <c:showLegendKey val="0"/>
          <c:showVal val="1"/>
          <c:showCatName val="0"/>
          <c:showSerName val="0"/>
          <c:showPercent val="0"/>
          <c:showBubbleSize val="0"/>
        </c:dLbls>
        <c:gapWidth val="150"/>
        <c:axId val="155323776"/>
        <c:axId val="155333760"/>
      </c:barChart>
      <c:catAx>
        <c:axId val="15532377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333760"/>
        <c:crosses val="autoZero"/>
        <c:auto val="1"/>
        <c:lblAlgn val="ctr"/>
        <c:lblOffset val="100"/>
        <c:noMultiLvlLbl val="0"/>
      </c:catAx>
      <c:valAx>
        <c:axId val="15533376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532377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0.01547</cdr:x>
      <cdr:y>0</cdr:y>
    </cdr:from>
    <cdr:to>
      <cdr:x>0.24371</cdr:x>
      <cdr:y>0.14583</cdr:y>
    </cdr:to>
    <cdr:sp>
      <cdr:nvSpPr>
        <cdr:cNvPr id="2" name="矩形 1"/>
        <cdr:cNvSpPr/>
      </cdr:nvSpPr>
      <cdr:spPr xmlns:a="http://schemas.openxmlformats.org/drawingml/2006/main">
        <a:xfrm xmlns:a="http://schemas.openxmlformats.org/drawingml/2006/main">
          <a:off x="76200" y="0"/>
          <a:ext cx="1123950" cy="40005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zh-CN" altLang="en-US" sz="1000"/>
            <a:t>收入</a:t>
          </a:r>
          <a:r>
            <a:rPr lang="en-US" altLang="zh-CN" sz="1000"/>
            <a:t>/</a:t>
          </a:r>
          <a:r>
            <a:rPr lang="zh-CN" altLang="en-US" sz="1000"/>
            <a:t>元</a:t>
          </a:r>
          <a:endParaRPr lang="zh-CN" alt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0.02121</cdr:x>
      <cdr:y>0.01062</cdr:y>
    </cdr:from>
    <cdr:to>
      <cdr:x>0.18158</cdr:x>
      <cdr:y>0.0913</cdr:y>
    </cdr:to>
    <cdr:sp>
      <cdr:nvSpPr>
        <cdr:cNvPr id="2" name="矩形 1"/>
        <cdr:cNvSpPr/>
      </cdr:nvSpPr>
      <cdr:spPr xmlns:a="http://schemas.openxmlformats.org/drawingml/2006/main">
        <a:xfrm xmlns:a="http://schemas.openxmlformats.org/drawingml/2006/main">
          <a:off x="101600" y="31750"/>
          <a:ext cx="768350" cy="241300"/>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zh-CN" altLang="en-US" sz="1000"/>
            <a:t>合格率</a:t>
          </a:r>
          <a:r>
            <a:rPr lang="en-US" altLang="zh-CN" sz="1000"/>
            <a:t>/%</a:t>
          </a:r>
          <a:endParaRPr lang="zh-CN" altLang="en-US" sz="1000"/>
        </a:p>
      </cdr:txBody>
    </cdr:sp>
  </cdr:relSizeAnchor>
</c:userShapes>
</file>

<file path=word/drawings/drawing3.xml><?xml version="1.0" encoding="utf-8"?>
<c:userShapes xmlns:c="http://schemas.openxmlformats.org/drawingml/2006/chart">
  <cdr:relSizeAnchor xmlns:cdr="http://schemas.openxmlformats.org/drawingml/2006/chartDrawing">
    <cdr:from>
      <cdr:x>0.04006</cdr:x>
      <cdr:y>0.03993</cdr:y>
    </cdr:from>
    <cdr:to>
      <cdr:x>0.18798</cdr:x>
      <cdr:y>0.15451</cdr:y>
    </cdr:to>
    <cdr:sp>
      <cdr:nvSpPr>
        <cdr:cNvPr id="2" name="矩形 1"/>
        <cdr:cNvSpPr/>
      </cdr:nvSpPr>
      <cdr:spPr xmlns:a="http://schemas.openxmlformats.org/drawingml/2006/main">
        <a:xfrm xmlns:a="http://schemas.openxmlformats.org/drawingml/2006/main">
          <a:off x="247651" y="109538"/>
          <a:ext cx="914400" cy="314325"/>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endParaRPr lang="zh-CN" altLang="en-US" sz="1100"/>
        </a:p>
      </cdr:txBody>
    </cdr:sp>
  </cdr:relSizeAnchor>
  <cdr:relSizeAnchor xmlns:cdr="http://schemas.openxmlformats.org/drawingml/2006/chartDrawing">
    <cdr:from>
      <cdr:x>0.00813</cdr:x>
      <cdr:y>0</cdr:y>
    </cdr:from>
    <cdr:to>
      <cdr:x>0.13293</cdr:x>
      <cdr:y>0.10764</cdr:y>
    </cdr:to>
    <cdr:sp>
      <cdr:nvSpPr>
        <cdr:cNvPr id="3" name="矩形 2"/>
        <cdr:cNvSpPr/>
      </cdr:nvSpPr>
      <cdr:spPr xmlns:a="http://schemas.openxmlformats.org/drawingml/2006/main">
        <a:xfrm xmlns:a="http://schemas.openxmlformats.org/drawingml/2006/main">
          <a:off x="46255" y="0"/>
          <a:ext cx="709745" cy="27217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zh-CN" altLang="en-US" sz="1000"/>
            <a:t>就业率</a:t>
          </a:r>
          <a:r>
            <a:rPr lang="en-US" altLang="zh-CN" sz="1000"/>
            <a:t>/%</a:t>
          </a:r>
          <a:endParaRPr lang="zh-CN"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0.02883</cdr:x>
      <cdr:y>0.0303</cdr:y>
    </cdr:from>
    <cdr:to>
      <cdr:x>0.21441</cdr:x>
      <cdr:y>0.13709</cdr:y>
    </cdr:to>
    <cdr:sp>
      <cdr:nvSpPr>
        <cdr:cNvPr id="2" name="矩形 1"/>
        <cdr:cNvSpPr/>
      </cdr:nvSpPr>
      <cdr:spPr xmlns:a="http://schemas.openxmlformats.org/drawingml/2006/main">
        <a:xfrm xmlns:a="http://schemas.openxmlformats.org/drawingml/2006/main">
          <a:off x="152401" y="100014"/>
          <a:ext cx="981075" cy="35242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r>
            <a:rPr lang="zh-CN" altLang="en-US" sz="1100"/>
            <a:t>满意度</a:t>
          </a:r>
          <a:r>
            <a:rPr lang="en-US" altLang="zh-CN" sz="1000"/>
            <a:t>/%</a:t>
          </a:r>
          <a:endParaRPr lang="zh-CN" altLang="en-US" sz="10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4EC94D-E808-417F-9B89-AF09446288B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44</Pages>
  <Words>16556</Words>
  <Characters>10650</Characters>
  <Lines>88</Lines>
  <Paragraphs>54</Paragraphs>
  <TotalTime>7</TotalTime>
  <ScaleCrop>false</ScaleCrop>
  <LinksUpToDate>false</LinksUpToDate>
  <CharactersWithSpaces>27152</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2018-12-12T14:34:00Z</dcterms:created>
  <dc:creator>Administrator</dc:creator>
  <cp:lastModifiedBy>木木</cp:lastModifiedBy>
  <cp:lastPrinted>2019-12-27T02:09:00Z</cp:lastPrinted>
  <dcterms:modified xsi:type="dcterms:W3CDTF">2019-12-30T06:22:05Z</dcterms:modified>
  <cp:revision>1079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